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2C0243" w14:textId="3B32BC38" w:rsidR="006E38F6" w:rsidRDefault="00D81A5F" w:rsidP="009B6A6A">
      <w:pPr>
        <w:spacing w:line="360" w:lineRule="auto"/>
        <w:jc w:val="both"/>
        <w:rPr>
          <w:b/>
          <w:color w:val="000000" w:themeColor="text1"/>
          <w:lang w:val="en-GB"/>
        </w:rPr>
      </w:pPr>
      <w:bookmarkStart w:id="0" w:name="_Hlk12865467"/>
      <w:r>
        <w:rPr>
          <w:b/>
          <w:color w:val="000000" w:themeColor="text1"/>
          <w:lang w:val="en-GB"/>
        </w:rPr>
        <w:t>A Stepped-Wedge Randomised-Controlled Trial on t</w:t>
      </w:r>
      <w:r w:rsidR="00D56DD2" w:rsidRPr="004F036B">
        <w:rPr>
          <w:b/>
          <w:color w:val="000000" w:themeColor="text1"/>
          <w:lang w:val="en-GB"/>
        </w:rPr>
        <w:t xml:space="preserve">he </w:t>
      </w:r>
      <w:r w:rsidR="008D61CD" w:rsidRPr="004F036B">
        <w:rPr>
          <w:b/>
          <w:color w:val="000000" w:themeColor="text1"/>
          <w:lang w:val="en-GB"/>
        </w:rPr>
        <w:t xml:space="preserve">Impact </w:t>
      </w:r>
      <w:r w:rsidR="00D56DD2" w:rsidRPr="004F036B">
        <w:rPr>
          <w:b/>
          <w:color w:val="000000" w:themeColor="text1"/>
          <w:lang w:val="en-GB"/>
        </w:rPr>
        <w:t xml:space="preserve">of </w:t>
      </w:r>
      <w:r w:rsidR="006C2D7C" w:rsidRPr="004F036B">
        <w:rPr>
          <w:b/>
          <w:color w:val="000000" w:themeColor="text1"/>
          <w:lang w:val="en-GB"/>
        </w:rPr>
        <w:t>Early</w:t>
      </w:r>
      <w:r w:rsidR="00CE624B" w:rsidRPr="004F036B">
        <w:rPr>
          <w:b/>
          <w:color w:val="000000" w:themeColor="text1"/>
          <w:lang w:val="en-GB"/>
        </w:rPr>
        <w:t xml:space="preserve"> ART Initiation</w:t>
      </w:r>
      <w:r w:rsidR="00FF420A">
        <w:rPr>
          <w:b/>
          <w:color w:val="000000" w:themeColor="text1"/>
          <w:lang w:val="en-GB"/>
        </w:rPr>
        <w:t xml:space="preserve"> on HIV </w:t>
      </w:r>
      <w:r w:rsidR="00C661BC">
        <w:rPr>
          <w:b/>
          <w:color w:val="000000" w:themeColor="text1"/>
          <w:lang w:val="en-GB"/>
        </w:rPr>
        <w:t>P</w:t>
      </w:r>
      <w:r w:rsidR="00FF420A">
        <w:rPr>
          <w:b/>
          <w:color w:val="000000" w:themeColor="text1"/>
          <w:lang w:val="en-GB"/>
        </w:rPr>
        <w:t>atients</w:t>
      </w:r>
      <w:r w:rsidR="00C661BC">
        <w:rPr>
          <w:b/>
          <w:color w:val="000000" w:themeColor="text1"/>
          <w:lang w:val="en-GB"/>
        </w:rPr>
        <w:t>’ Economic Welfare</w:t>
      </w:r>
      <w:r w:rsidR="00B654EF" w:rsidRPr="004F036B">
        <w:rPr>
          <w:b/>
          <w:color w:val="000000" w:themeColor="text1"/>
          <w:lang w:val="en-GB"/>
        </w:rPr>
        <w:t xml:space="preserve"> in Eswatini</w:t>
      </w:r>
    </w:p>
    <w:p w14:paraId="246B761B" w14:textId="77777777" w:rsidR="00EF79B8" w:rsidRDefault="00EF79B8" w:rsidP="009B6A6A">
      <w:pPr>
        <w:spacing w:line="360" w:lineRule="auto"/>
        <w:jc w:val="both"/>
        <w:rPr>
          <w:b/>
          <w:color w:val="000000" w:themeColor="text1"/>
          <w:lang w:val="en-GB"/>
        </w:rPr>
      </w:pPr>
    </w:p>
    <w:p w14:paraId="3352C4CF" w14:textId="77777777" w:rsidR="00E27482" w:rsidRDefault="00E27482" w:rsidP="009B6A6A">
      <w:pPr>
        <w:suppressLineNumbers/>
        <w:spacing w:line="360" w:lineRule="auto"/>
        <w:jc w:val="both"/>
        <w:rPr>
          <w:iCs/>
          <w:lang w:val="en-GB"/>
        </w:rPr>
      </w:pPr>
      <w:r w:rsidRPr="00EF79B8">
        <w:rPr>
          <w:b/>
          <w:lang w:val="en-GB"/>
        </w:rPr>
        <w:t>Janina I Steinert</w:t>
      </w:r>
      <w:r w:rsidRPr="009A4E17">
        <w:rPr>
          <w:bCs/>
          <w:vertAlign w:val="superscript"/>
        </w:rPr>
        <w:t>§</w:t>
      </w:r>
      <w:r w:rsidRPr="009A4E17">
        <w:rPr>
          <w:lang w:val="en-GB"/>
        </w:rPr>
        <w:t xml:space="preserve">, </w:t>
      </w:r>
      <w:r w:rsidRPr="009A4E17">
        <w:rPr>
          <w:iCs/>
          <w:lang w:val="en-GB"/>
        </w:rPr>
        <w:t>Technical University of Munich, Munich, Germany</w:t>
      </w:r>
    </w:p>
    <w:p w14:paraId="5232AF40" w14:textId="77777777" w:rsidR="00E27482" w:rsidRDefault="00E27482" w:rsidP="009B6A6A">
      <w:pPr>
        <w:suppressLineNumbers/>
        <w:spacing w:line="360" w:lineRule="auto"/>
        <w:jc w:val="both"/>
        <w:rPr>
          <w:iCs/>
          <w:lang w:val="en-GB"/>
        </w:rPr>
      </w:pPr>
      <w:r w:rsidRPr="00EF79B8">
        <w:rPr>
          <w:b/>
          <w:lang w:val="en-GB"/>
        </w:rPr>
        <w:t>Shaukat Khan</w:t>
      </w:r>
      <w:r w:rsidRPr="009A4E17">
        <w:rPr>
          <w:lang w:val="en-GB"/>
        </w:rPr>
        <w:t xml:space="preserve">, </w:t>
      </w:r>
      <w:r w:rsidRPr="009A4E17">
        <w:rPr>
          <w:iCs/>
          <w:lang w:val="en-GB"/>
        </w:rPr>
        <w:t xml:space="preserve">Clinton Health </w:t>
      </w:r>
      <w:proofErr w:type="spellStart"/>
      <w:r w:rsidRPr="009A4E17">
        <w:rPr>
          <w:iCs/>
          <w:lang w:val="en-GB"/>
        </w:rPr>
        <w:t>Acccess</w:t>
      </w:r>
      <w:proofErr w:type="spellEnd"/>
      <w:r w:rsidRPr="009A4E17">
        <w:rPr>
          <w:iCs/>
          <w:lang w:val="en-GB"/>
        </w:rPr>
        <w:t xml:space="preserve"> Initiative, Boston, US</w:t>
      </w:r>
    </w:p>
    <w:p w14:paraId="50F54A3F" w14:textId="0BFA8BBB" w:rsidR="00E27482" w:rsidRDefault="00E27482" w:rsidP="009B6A6A">
      <w:pPr>
        <w:suppressLineNumbers/>
        <w:spacing w:line="360" w:lineRule="auto"/>
        <w:jc w:val="both"/>
        <w:rPr>
          <w:iCs/>
          <w:lang w:val="en-GB"/>
        </w:rPr>
      </w:pPr>
      <w:proofErr w:type="spellStart"/>
      <w:r w:rsidRPr="00EF79B8">
        <w:rPr>
          <w:b/>
          <w:lang w:val="en-GB"/>
        </w:rPr>
        <w:t>Khudzie</w:t>
      </w:r>
      <w:proofErr w:type="spellEnd"/>
      <w:r w:rsidRPr="00EF79B8">
        <w:rPr>
          <w:b/>
          <w:lang w:val="en-GB"/>
        </w:rPr>
        <w:t xml:space="preserve"> Mlambo</w:t>
      </w:r>
      <w:r w:rsidRPr="009A4E17">
        <w:rPr>
          <w:lang w:val="en-GB"/>
        </w:rPr>
        <w:t xml:space="preserve">, </w:t>
      </w:r>
      <w:r w:rsidRPr="009A4E17">
        <w:rPr>
          <w:iCs/>
          <w:lang w:val="en-GB"/>
        </w:rPr>
        <w:t xml:space="preserve">Clinton Health </w:t>
      </w:r>
      <w:proofErr w:type="spellStart"/>
      <w:r w:rsidRPr="009A4E17">
        <w:rPr>
          <w:iCs/>
          <w:lang w:val="en-GB"/>
        </w:rPr>
        <w:t>Acccess</w:t>
      </w:r>
      <w:proofErr w:type="spellEnd"/>
      <w:r w:rsidRPr="009A4E17">
        <w:rPr>
          <w:iCs/>
          <w:lang w:val="en-GB"/>
        </w:rPr>
        <w:t xml:space="preserve"> Initiative, Boston, US</w:t>
      </w:r>
    </w:p>
    <w:p w14:paraId="1E2F089A" w14:textId="25CF3929" w:rsidR="00E27482" w:rsidRDefault="00E27482" w:rsidP="009B6A6A">
      <w:pPr>
        <w:suppressLineNumbers/>
        <w:spacing w:line="360" w:lineRule="auto"/>
        <w:jc w:val="both"/>
        <w:rPr>
          <w:iCs/>
          <w:lang w:val="en-GB"/>
        </w:rPr>
      </w:pPr>
      <w:r w:rsidRPr="00EF79B8">
        <w:rPr>
          <w:b/>
          <w:lang w:val="en-GB"/>
        </w:rPr>
        <w:t>Fiona J Walsh</w:t>
      </w:r>
      <w:r w:rsidRPr="009A4E17">
        <w:rPr>
          <w:lang w:val="en-GB"/>
        </w:rPr>
        <w:t xml:space="preserve">, </w:t>
      </w:r>
      <w:r w:rsidRPr="009A4E17">
        <w:rPr>
          <w:iCs/>
          <w:lang w:val="en-GB"/>
        </w:rPr>
        <w:t xml:space="preserve">Clinton Health </w:t>
      </w:r>
      <w:proofErr w:type="spellStart"/>
      <w:r w:rsidRPr="009A4E17">
        <w:rPr>
          <w:iCs/>
          <w:lang w:val="en-GB"/>
        </w:rPr>
        <w:t>Acccess</w:t>
      </w:r>
      <w:proofErr w:type="spellEnd"/>
      <w:r w:rsidRPr="009A4E17">
        <w:rPr>
          <w:iCs/>
          <w:lang w:val="en-GB"/>
        </w:rPr>
        <w:t xml:space="preserve"> Initiative, Boston, US</w:t>
      </w:r>
    </w:p>
    <w:p w14:paraId="6CE44366" w14:textId="6002A705" w:rsidR="00E27482" w:rsidRDefault="00E27482" w:rsidP="009B6A6A">
      <w:pPr>
        <w:suppressLineNumbers/>
        <w:spacing w:line="360" w:lineRule="auto"/>
        <w:jc w:val="both"/>
        <w:rPr>
          <w:iCs/>
          <w:lang w:val="en-GB"/>
        </w:rPr>
      </w:pPr>
      <w:r w:rsidRPr="00EF79B8">
        <w:rPr>
          <w:b/>
          <w:lang w:val="en-GB"/>
        </w:rPr>
        <w:t xml:space="preserve">Emma </w:t>
      </w:r>
      <w:proofErr w:type="spellStart"/>
      <w:r w:rsidRPr="00EF79B8">
        <w:rPr>
          <w:b/>
          <w:lang w:val="en-GB"/>
        </w:rPr>
        <w:t>Mafara</w:t>
      </w:r>
      <w:proofErr w:type="spellEnd"/>
      <w:r w:rsidRPr="009A4E17">
        <w:rPr>
          <w:lang w:val="en-GB"/>
        </w:rPr>
        <w:t xml:space="preserve">, </w:t>
      </w:r>
      <w:r w:rsidRPr="009A4E17">
        <w:rPr>
          <w:iCs/>
          <w:lang w:val="en-GB"/>
        </w:rPr>
        <w:t xml:space="preserve">Clinton Health </w:t>
      </w:r>
      <w:proofErr w:type="spellStart"/>
      <w:r w:rsidRPr="009A4E17">
        <w:rPr>
          <w:iCs/>
          <w:lang w:val="en-GB"/>
        </w:rPr>
        <w:t>Acccess</w:t>
      </w:r>
      <w:proofErr w:type="spellEnd"/>
      <w:r w:rsidRPr="009A4E17">
        <w:rPr>
          <w:iCs/>
          <w:lang w:val="en-GB"/>
        </w:rPr>
        <w:t xml:space="preserve"> Initiative, Boston, US</w:t>
      </w:r>
    </w:p>
    <w:p w14:paraId="60CE46D4" w14:textId="31449847" w:rsidR="00E27482" w:rsidRDefault="00E27482" w:rsidP="009B6A6A">
      <w:pPr>
        <w:suppressLineNumbers/>
        <w:spacing w:line="360" w:lineRule="auto"/>
        <w:jc w:val="both"/>
        <w:rPr>
          <w:iCs/>
          <w:lang w:val="en-GB"/>
        </w:rPr>
      </w:pPr>
      <w:r w:rsidRPr="00EF79B8">
        <w:rPr>
          <w:b/>
          <w:lang w:val="en-GB"/>
        </w:rPr>
        <w:t xml:space="preserve">Charlotte </w:t>
      </w:r>
      <w:proofErr w:type="spellStart"/>
      <w:r w:rsidRPr="00EF79B8">
        <w:rPr>
          <w:b/>
          <w:lang w:val="en-GB"/>
        </w:rPr>
        <w:t>Lejeune</w:t>
      </w:r>
      <w:proofErr w:type="spellEnd"/>
      <w:r w:rsidRPr="009A4E17">
        <w:rPr>
          <w:lang w:val="en-GB"/>
        </w:rPr>
        <w:t xml:space="preserve">, </w:t>
      </w:r>
      <w:r w:rsidRPr="009A4E17">
        <w:rPr>
          <w:iCs/>
          <w:lang w:val="en-GB"/>
        </w:rPr>
        <w:t xml:space="preserve">Clinton Health </w:t>
      </w:r>
      <w:proofErr w:type="spellStart"/>
      <w:r w:rsidRPr="009A4E17">
        <w:rPr>
          <w:iCs/>
          <w:lang w:val="en-GB"/>
        </w:rPr>
        <w:t>Acccess</w:t>
      </w:r>
      <w:proofErr w:type="spellEnd"/>
      <w:r w:rsidRPr="009A4E17">
        <w:rPr>
          <w:iCs/>
          <w:lang w:val="en-GB"/>
        </w:rPr>
        <w:t xml:space="preserve"> Initiative, Boston, US</w:t>
      </w:r>
    </w:p>
    <w:p w14:paraId="176F2036" w14:textId="77777777" w:rsidR="00E27482" w:rsidRDefault="00E27482" w:rsidP="009B6A6A">
      <w:pPr>
        <w:suppressLineNumbers/>
        <w:spacing w:line="360" w:lineRule="auto"/>
        <w:jc w:val="both"/>
        <w:rPr>
          <w:iCs/>
          <w:lang w:val="en-GB"/>
        </w:rPr>
      </w:pPr>
      <w:proofErr w:type="spellStart"/>
      <w:r w:rsidRPr="00EF79B8">
        <w:rPr>
          <w:b/>
          <w:lang w:val="en-GB"/>
        </w:rPr>
        <w:t>Cebele</w:t>
      </w:r>
      <w:proofErr w:type="spellEnd"/>
      <w:r w:rsidRPr="00EF79B8">
        <w:rPr>
          <w:b/>
          <w:lang w:val="en-GB"/>
        </w:rPr>
        <w:t xml:space="preserve"> Wong</w:t>
      </w:r>
      <w:r w:rsidRPr="009A4E17">
        <w:rPr>
          <w:lang w:val="en-GB"/>
        </w:rPr>
        <w:t xml:space="preserve">, </w:t>
      </w:r>
      <w:r w:rsidRPr="009A4E17">
        <w:rPr>
          <w:iCs/>
          <w:lang w:val="en-GB"/>
        </w:rPr>
        <w:t xml:space="preserve">Clinton Health </w:t>
      </w:r>
      <w:proofErr w:type="spellStart"/>
      <w:r w:rsidRPr="009A4E17">
        <w:rPr>
          <w:iCs/>
          <w:lang w:val="en-GB"/>
        </w:rPr>
        <w:t>Acccess</w:t>
      </w:r>
      <w:proofErr w:type="spellEnd"/>
      <w:r w:rsidRPr="009A4E17">
        <w:rPr>
          <w:iCs/>
          <w:lang w:val="en-GB"/>
        </w:rPr>
        <w:t xml:space="preserve"> Initiative, Boston, US</w:t>
      </w:r>
    </w:p>
    <w:p w14:paraId="222B4377" w14:textId="7A94BE90" w:rsidR="00E27482" w:rsidRDefault="00E27482" w:rsidP="009B6A6A">
      <w:pPr>
        <w:suppressLineNumbers/>
        <w:spacing w:line="360" w:lineRule="auto"/>
        <w:jc w:val="both"/>
        <w:rPr>
          <w:iCs/>
          <w:lang w:val="en-GB"/>
        </w:rPr>
      </w:pPr>
      <w:r w:rsidRPr="00EF79B8">
        <w:rPr>
          <w:b/>
          <w:lang w:val="en-GB"/>
        </w:rPr>
        <w:t xml:space="preserve">Anita </w:t>
      </w:r>
      <w:proofErr w:type="spellStart"/>
      <w:r w:rsidRPr="00EF79B8">
        <w:rPr>
          <w:b/>
          <w:lang w:val="en-GB"/>
        </w:rPr>
        <w:t>Hettema</w:t>
      </w:r>
      <w:proofErr w:type="spellEnd"/>
      <w:r w:rsidRPr="009A4E17">
        <w:rPr>
          <w:lang w:val="en-GB"/>
        </w:rPr>
        <w:t xml:space="preserve">, </w:t>
      </w:r>
      <w:r w:rsidRPr="009A4E17">
        <w:rPr>
          <w:iCs/>
          <w:lang w:val="en-GB"/>
        </w:rPr>
        <w:t xml:space="preserve">Clinton Health </w:t>
      </w:r>
      <w:proofErr w:type="spellStart"/>
      <w:r w:rsidRPr="009A4E17">
        <w:rPr>
          <w:iCs/>
          <w:lang w:val="en-GB"/>
        </w:rPr>
        <w:t>Acccess</w:t>
      </w:r>
      <w:proofErr w:type="spellEnd"/>
      <w:r w:rsidRPr="009A4E17">
        <w:rPr>
          <w:iCs/>
          <w:lang w:val="en-GB"/>
        </w:rPr>
        <w:t xml:space="preserve"> Initiative, Boston, US</w:t>
      </w:r>
    </w:p>
    <w:p w14:paraId="375F9EA3" w14:textId="7CD3961E" w:rsidR="00E27482" w:rsidRDefault="00E27482" w:rsidP="009B6A6A">
      <w:pPr>
        <w:suppressLineNumbers/>
        <w:spacing w:line="360" w:lineRule="auto"/>
        <w:jc w:val="both"/>
        <w:rPr>
          <w:iCs/>
          <w:lang w:val="en-GB"/>
        </w:rPr>
      </w:pPr>
      <w:proofErr w:type="spellStart"/>
      <w:r w:rsidRPr="00EF79B8">
        <w:rPr>
          <w:b/>
          <w:lang w:val="en-GB"/>
        </w:rPr>
        <w:t>Osondu</w:t>
      </w:r>
      <w:proofErr w:type="spellEnd"/>
      <w:r w:rsidRPr="00EF79B8">
        <w:rPr>
          <w:b/>
          <w:lang w:val="en-GB"/>
        </w:rPr>
        <w:t xml:space="preserve"> </w:t>
      </w:r>
      <w:proofErr w:type="spellStart"/>
      <w:r w:rsidRPr="00EF79B8">
        <w:rPr>
          <w:b/>
          <w:lang w:val="en-GB"/>
        </w:rPr>
        <w:t>Ogbouji</w:t>
      </w:r>
      <w:proofErr w:type="spellEnd"/>
      <w:r w:rsidRPr="009A4E17">
        <w:rPr>
          <w:lang w:val="en-GB"/>
        </w:rPr>
        <w:t xml:space="preserve">, </w:t>
      </w:r>
      <w:r w:rsidRPr="009A4E17">
        <w:rPr>
          <w:iCs/>
          <w:lang w:val="en-GB"/>
        </w:rPr>
        <w:t>Duke Global Health Institute</w:t>
      </w:r>
      <w:r>
        <w:rPr>
          <w:iCs/>
          <w:lang w:val="en-GB"/>
        </w:rPr>
        <w:t xml:space="preserve">, </w:t>
      </w:r>
      <w:r w:rsidRPr="009A4E17">
        <w:rPr>
          <w:iCs/>
          <w:lang w:val="en-GB"/>
        </w:rPr>
        <w:t>Durham, US</w:t>
      </w:r>
    </w:p>
    <w:p w14:paraId="74BA166F" w14:textId="3ABB884E" w:rsidR="00E27482" w:rsidRDefault="00E27482" w:rsidP="009B6A6A">
      <w:pPr>
        <w:suppressLineNumbers/>
        <w:spacing w:line="360" w:lineRule="auto"/>
        <w:jc w:val="both"/>
        <w:rPr>
          <w:iCs/>
          <w:lang w:val="en-GB"/>
        </w:rPr>
      </w:pPr>
      <w:r w:rsidRPr="00EF79B8">
        <w:rPr>
          <w:b/>
        </w:rPr>
        <w:t>Sebastian Vollmer</w:t>
      </w:r>
      <w:r w:rsidRPr="009A4E17">
        <w:t xml:space="preserve">, </w:t>
      </w:r>
      <w:r w:rsidRPr="009A4E17">
        <w:rPr>
          <w:iCs/>
          <w:lang w:val="en-GB"/>
        </w:rPr>
        <w:t>University of Göttingen, Göttingen, Germany</w:t>
      </w:r>
    </w:p>
    <w:p w14:paraId="4768F0C0" w14:textId="27F50B21" w:rsidR="00E27482" w:rsidRDefault="00E27482" w:rsidP="00EF79B8">
      <w:pPr>
        <w:suppressLineNumbers/>
        <w:spacing w:line="360" w:lineRule="auto"/>
        <w:jc w:val="both"/>
        <w:rPr>
          <w:iCs/>
          <w:lang w:val="en-GB"/>
        </w:rPr>
      </w:pPr>
      <w:r w:rsidRPr="00EF79B8">
        <w:rPr>
          <w:b/>
          <w:lang w:val="en-GB"/>
        </w:rPr>
        <w:t>Jan-Walter De Neve</w:t>
      </w:r>
      <w:r w:rsidRPr="009A4E17">
        <w:rPr>
          <w:lang w:val="en-GB"/>
        </w:rPr>
        <w:t xml:space="preserve">, </w:t>
      </w:r>
      <w:r w:rsidR="00DF3097" w:rsidRPr="005D52C1">
        <w:rPr>
          <w:iCs/>
          <w:lang w:val="en-GB"/>
        </w:rPr>
        <w:t>Heidelberg Institute of Global Health, Heidelberg University, Heidelberg, Germany</w:t>
      </w:r>
    </w:p>
    <w:p w14:paraId="41462104" w14:textId="77777777" w:rsidR="00E27482" w:rsidRDefault="00E27482" w:rsidP="009B6A6A">
      <w:pPr>
        <w:suppressLineNumbers/>
        <w:spacing w:line="360" w:lineRule="auto"/>
        <w:jc w:val="both"/>
        <w:rPr>
          <w:iCs/>
          <w:color w:val="000000" w:themeColor="text1"/>
          <w:lang w:val="en-GB"/>
        </w:rPr>
      </w:pPr>
      <w:proofErr w:type="spellStart"/>
      <w:r w:rsidRPr="00EF79B8">
        <w:rPr>
          <w:b/>
          <w:lang w:val="en-GB"/>
        </w:rPr>
        <w:t>Sikhathele</w:t>
      </w:r>
      <w:proofErr w:type="spellEnd"/>
      <w:r w:rsidRPr="00EF79B8">
        <w:rPr>
          <w:b/>
          <w:lang w:val="en-GB"/>
        </w:rPr>
        <w:t xml:space="preserve"> </w:t>
      </w:r>
      <w:proofErr w:type="spellStart"/>
      <w:r w:rsidRPr="00EF79B8">
        <w:rPr>
          <w:b/>
          <w:lang w:val="en-GB"/>
        </w:rPr>
        <w:t>Mazibuko</w:t>
      </w:r>
      <w:proofErr w:type="spellEnd"/>
      <w:r>
        <w:rPr>
          <w:lang w:val="en-GB"/>
        </w:rPr>
        <w:t>,</w:t>
      </w:r>
      <w:r w:rsidRPr="009A4E17">
        <w:rPr>
          <w:lang w:val="en-GB"/>
        </w:rPr>
        <w:t xml:space="preserve"> </w:t>
      </w:r>
      <w:r w:rsidRPr="009A4E17">
        <w:rPr>
          <w:iCs/>
          <w:color w:val="000000" w:themeColor="text1"/>
          <w:lang w:val="en-GB"/>
        </w:rPr>
        <w:t>Ministry of Health of the Kingdom of Eswatini, Mbabane, Eswatini</w:t>
      </w:r>
    </w:p>
    <w:p w14:paraId="7BEF49D6" w14:textId="77777777" w:rsidR="00E27482" w:rsidRDefault="00E27482" w:rsidP="009B6A6A">
      <w:pPr>
        <w:suppressLineNumbers/>
        <w:spacing w:line="360" w:lineRule="auto"/>
        <w:jc w:val="both"/>
        <w:rPr>
          <w:iCs/>
          <w:color w:val="000000" w:themeColor="text1"/>
          <w:lang w:val="en-GB"/>
        </w:rPr>
      </w:pPr>
      <w:proofErr w:type="spellStart"/>
      <w:r w:rsidRPr="00EF79B8">
        <w:rPr>
          <w:b/>
          <w:lang w:val="en-GB"/>
        </w:rPr>
        <w:t>Velephi</w:t>
      </w:r>
      <w:proofErr w:type="spellEnd"/>
      <w:r w:rsidRPr="00EF79B8">
        <w:rPr>
          <w:b/>
          <w:lang w:val="en-GB"/>
        </w:rPr>
        <w:t xml:space="preserve"> Okello</w:t>
      </w:r>
      <w:r w:rsidRPr="009A4E17">
        <w:rPr>
          <w:lang w:val="en-GB"/>
        </w:rPr>
        <w:t xml:space="preserve">, </w:t>
      </w:r>
      <w:r w:rsidRPr="009A4E17">
        <w:rPr>
          <w:iCs/>
          <w:color w:val="000000" w:themeColor="text1"/>
          <w:lang w:val="en-GB"/>
        </w:rPr>
        <w:t>Ministry of Health of the Kingdom of Eswatini, Mbabane, Eswatini</w:t>
      </w:r>
    </w:p>
    <w:p w14:paraId="176C9558" w14:textId="77777777" w:rsidR="00EF79B8" w:rsidRDefault="00E27482" w:rsidP="009B6A6A">
      <w:pPr>
        <w:suppressLineNumbers/>
        <w:spacing w:line="360" w:lineRule="auto"/>
        <w:jc w:val="both"/>
        <w:rPr>
          <w:iCs/>
          <w:lang w:val="en-GB"/>
        </w:rPr>
      </w:pPr>
      <w:r w:rsidRPr="00EF79B8">
        <w:rPr>
          <w:b/>
        </w:rPr>
        <w:t xml:space="preserve">Till </w:t>
      </w:r>
      <w:proofErr w:type="spellStart"/>
      <w:r w:rsidRPr="00EF79B8">
        <w:rPr>
          <w:b/>
        </w:rPr>
        <w:t>Bärnighausen</w:t>
      </w:r>
      <w:proofErr w:type="spellEnd"/>
      <w:r w:rsidRPr="009A4E17">
        <w:t xml:space="preserve">, </w:t>
      </w:r>
      <w:r w:rsidR="00DF3097" w:rsidRPr="005D52C1">
        <w:rPr>
          <w:iCs/>
          <w:lang w:val="en-GB"/>
        </w:rPr>
        <w:t xml:space="preserve">Heidelberg Institute of Global Health, Heidelberg University, Heidelberg, </w:t>
      </w:r>
    </w:p>
    <w:p w14:paraId="171E3338" w14:textId="2E94A437" w:rsidR="00E27482" w:rsidRDefault="00DF3097" w:rsidP="00EF79B8">
      <w:pPr>
        <w:suppressLineNumbers/>
        <w:spacing w:line="360" w:lineRule="auto"/>
        <w:jc w:val="both"/>
        <w:rPr>
          <w:iCs/>
          <w:lang w:val="en-GB"/>
        </w:rPr>
      </w:pPr>
      <w:r w:rsidRPr="005D52C1">
        <w:rPr>
          <w:iCs/>
          <w:lang w:val="en-GB"/>
        </w:rPr>
        <w:t>Germany</w:t>
      </w:r>
    </w:p>
    <w:p w14:paraId="7780B825" w14:textId="77777777" w:rsidR="00EF79B8" w:rsidRDefault="00E27482" w:rsidP="005D52C1">
      <w:pPr>
        <w:suppressLineNumbers/>
        <w:spacing w:line="360" w:lineRule="auto"/>
        <w:jc w:val="both"/>
        <w:rPr>
          <w:iCs/>
          <w:lang w:val="en-GB"/>
        </w:rPr>
      </w:pPr>
      <w:r w:rsidRPr="00C11E1F">
        <w:rPr>
          <w:b/>
        </w:rPr>
        <w:t xml:space="preserve">Pascal </w:t>
      </w:r>
      <w:proofErr w:type="spellStart"/>
      <w:r w:rsidRPr="00C11E1F">
        <w:rPr>
          <w:b/>
        </w:rPr>
        <w:t>Geldsetzer</w:t>
      </w:r>
      <w:proofErr w:type="spellEnd"/>
      <w:r w:rsidRPr="009A4E17">
        <w:t xml:space="preserve">, </w:t>
      </w:r>
      <w:r w:rsidR="005D52C1" w:rsidRPr="005D52C1">
        <w:rPr>
          <w:iCs/>
          <w:lang w:val="en-GB"/>
        </w:rPr>
        <w:t xml:space="preserve">Division of Primary Care and Population Health, Department of Medicine, </w:t>
      </w:r>
    </w:p>
    <w:p w14:paraId="4F7E51AA" w14:textId="7EF7B594" w:rsidR="00EE564A" w:rsidRDefault="005D52C1" w:rsidP="00C11E1F">
      <w:pPr>
        <w:suppressLineNumbers/>
        <w:spacing w:line="360" w:lineRule="auto"/>
        <w:jc w:val="both"/>
        <w:rPr>
          <w:iCs/>
          <w:lang w:val="en-GB"/>
        </w:rPr>
      </w:pPr>
      <w:r w:rsidRPr="005D52C1">
        <w:rPr>
          <w:iCs/>
          <w:lang w:val="en-GB"/>
        </w:rPr>
        <w:t>Stanford University, Stanford, CA, United States</w:t>
      </w:r>
      <w:r w:rsidR="00DF3097">
        <w:rPr>
          <w:iCs/>
          <w:lang w:val="en-GB"/>
        </w:rPr>
        <w:t xml:space="preserve"> &amp; </w:t>
      </w:r>
      <w:r w:rsidRPr="005D52C1">
        <w:rPr>
          <w:iCs/>
          <w:lang w:val="en-GB"/>
        </w:rPr>
        <w:t>Heidelberg Institute of Global Health, Heidelberg University, Heidelberg, Germany</w:t>
      </w:r>
    </w:p>
    <w:p w14:paraId="7FFDF628" w14:textId="6F23AD04" w:rsidR="00EF79B8" w:rsidRDefault="00EF79B8" w:rsidP="00EF79B8">
      <w:pPr>
        <w:suppressLineNumbers/>
        <w:spacing w:line="360" w:lineRule="auto"/>
        <w:ind w:left="720"/>
        <w:jc w:val="both"/>
        <w:rPr>
          <w:bCs/>
          <w:vertAlign w:val="superscript"/>
        </w:rPr>
      </w:pPr>
    </w:p>
    <w:p w14:paraId="46B170B5" w14:textId="77777777" w:rsidR="008F6C9A" w:rsidRPr="004F1ED6" w:rsidRDefault="008F6C9A" w:rsidP="00EF79B8">
      <w:pPr>
        <w:suppressLineNumbers/>
        <w:spacing w:line="360" w:lineRule="auto"/>
        <w:ind w:left="720"/>
        <w:jc w:val="both"/>
        <w:rPr>
          <w:bCs/>
          <w:i/>
          <w:vertAlign w:val="superscript"/>
        </w:rPr>
      </w:pPr>
    </w:p>
    <w:p w14:paraId="02A06D42" w14:textId="68A517FB" w:rsidR="00E27482" w:rsidRPr="004F1ED6" w:rsidRDefault="00EE564A" w:rsidP="009B6A6A">
      <w:pPr>
        <w:spacing w:line="360" w:lineRule="auto"/>
        <w:jc w:val="both"/>
        <w:rPr>
          <w:bCs/>
          <w:i/>
        </w:rPr>
      </w:pPr>
      <w:r w:rsidRPr="004F1ED6">
        <w:rPr>
          <w:bCs/>
          <w:i/>
          <w:vertAlign w:val="superscript"/>
        </w:rPr>
        <w:t>§</w:t>
      </w:r>
      <w:r w:rsidRPr="004F1ED6">
        <w:rPr>
          <w:bCs/>
          <w:i/>
        </w:rPr>
        <w:t>Corresponding Author</w:t>
      </w:r>
    </w:p>
    <w:p w14:paraId="2095F7CA" w14:textId="6F65CF5F" w:rsidR="008F6C9A" w:rsidRPr="004F1ED6" w:rsidRDefault="00740FDB" w:rsidP="009B6A6A">
      <w:pPr>
        <w:spacing w:line="360" w:lineRule="auto"/>
        <w:jc w:val="both"/>
        <w:rPr>
          <w:bCs/>
          <w:i/>
        </w:rPr>
      </w:pPr>
      <w:hyperlink r:id="rId7" w:history="1">
        <w:r w:rsidR="004F1ED6" w:rsidRPr="004F1ED6">
          <w:rPr>
            <w:rStyle w:val="Hyperlink"/>
            <w:bCs/>
            <w:i/>
          </w:rPr>
          <w:t>janina.steinert@tum.de</w:t>
        </w:r>
      </w:hyperlink>
    </w:p>
    <w:p w14:paraId="23869FFC" w14:textId="692287D7" w:rsidR="008F6C9A" w:rsidRPr="004F1ED6" w:rsidRDefault="008F6C9A" w:rsidP="009B6A6A">
      <w:pPr>
        <w:spacing w:line="360" w:lineRule="auto"/>
        <w:jc w:val="both"/>
        <w:rPr>
          <w:bCs/>
          <w:i/>
        </w:rPr>
      </w:pPr>
      <w:r w:rsidRPr="004F1ED6">
        <w:rPr>
          <w:bCs/>
          <w:i/>
        </w:rPr>
        <w:t>Richard-Wagner Str. 1</w:t>
      </w:r>
    </w:p>
    <w:p w14:paraId="6CC23D3C" w14:textId="7B79CF98" w:rsidR="008F6C9A" w:rsidRPr="004F1ED6" w:rsidRDefault="008F6C9A" w:rsidP="009B6A6A">
      <w:pPr>
        <w:spacing w:line="360" w:lineRule="auto"/>
        <w:jc w:val="both"/>
        <w:rPr>
          <w:bCs/>
          <w:i/>
        </w:rPr>
      </w:pPr>
      <w:r w:rsidRPr="004F1ED6">
        <w:rPr>
          <w:bCs/>
          <w:i/>
        </w:rPr>
        <w:t>80333 München</w:t>
      </w:r>
    </w:p>
    <w:p w14:paraId="0B1DFAE0" w14:textId="4E5CA58B" w:rsidR="008F6C9A" w:rsidRPr="004F1ED6" w:rsidRDefault="008F6C9A" w:rsidP="009B6A6A">
      <w:pPr>
        <w:spacing w:line="360" w:lineRule="auto"/>
        <w:jc w:val="both"/>
        <w:rPr>
          <w:bCs/>
          <w:i/>
        </w:rPr>
      </w:pPr>
      <w:r w:rsidRPr="004F1ED6">
        <w:rPr>
          <w:bCs/>
          <w:i/>
        </w:rPr>
        <w:t>Germany</w:t>
      </w:r>
    </w:p>
    <w:bookmarkEnd w:id="0"/>
    <w:p w14:paraId="42906870" w14:textId="77777777" w:rsidR="00EE564A" w:rsidRDefault="00EE564A" w:rsidP="009B6A6A">
      <w:pPr>
        <w:pStyle w:val="Heading1"/>
        <w:spacing w:before="0" w:line="360" w:lineRule="auto"/>
        <w:jc w:val="both"/>
        <w:rPr>
          <w:rFonts w:ascii="Times New Roman" w:hAnsi="Times New Roman" w:cs="Times New Roman"/>
          <w:b/>
          <w:color w:val="000000" w:themeColor="text1"/>
          <w:sz w:val="24"/>
          <w:szCs w:val="24"/>
          <w:lang w:val="en-GB"/>
        </w:rPr>
      </w:pPr>
    </w:p>
    <w:p w14:paraId="250DE0CC" w14:textId="77777777" w:rsidR="00C11E1F" w:rsidRDefault="00C11E1F">
      <w:pPr>
        <w:spacing w:after="160" w:line="259" w:lineRule="auto"/>
        <w:rPr>
          <w:rFonts w:eastAsiaTheme="majorEastAsia"/>
          <w:b/>
          <w:color w:val="000000" w:themeColor="text1"/>
          <w:lang w:val="en-GB"/>
        </w:rPr>
      </w:pPr>
      <w:r>
        <w:rPr>
          <w:b/>
          <w:color w:val="000000" w:themeColor="text1"/>
          <w:lang w:val="en-GB"/>
        </w:rPr>
        <w:br w:type="page"/>
      </w:r>
    </w:p>
    <w:p w14:paraId="1EA6C601" w14:textId="77777777" w:rsidR="004C1BF2" w:rsidRDefault="007D39F3" w:rsidP="00722212">
      <w:pPr>
        <w:pStyle w:val="Heading1"/>
        <w:rPr>
          <w:b/>
          <w:color w:val="000000" w:themeColor="text1"/>
          <w:lang w:val="en-GB"/>
        </w:rPr>
      </w:pPr>
      <w:r w:rsidRPr="004F036B">
        <w:rPr>
          <w:rFonts w:ascii="Times New Roman" w:hAnsi="Times New Roman" w:cs="Times New Roman"/>
          <w:b/>
          <w:color w:val="000000" w:themeColor="text1"/>
          <w:sz w:val="24"/>
          <w:szCs w:val="24"/>
          <w:lang w:val="en-GB"/>
        </w:rPr>
        <w:lastRenderedPageBreak/>
        <w:t>Abstract</w:t>
      </w:r>
    </w:p>
    <w:p w14:paraId="1BD20BDD" w14:textId="474D7E59" w:rsidR="004C1BF2" w:rsidRDefault="00A81256" w:rsidP="004C1BF2">
      <w:pPr>
        <w:spacing w:line="276" w:lineRule="auto"/>
        <w:jc w:val="both"/>
        <w:rPr>
          <w:lang w:val="en-GB"/>
        </w:rPr>
      </w:pPr>
      <w:r w:rsidRPr="004F036B">
        <w:rPr>
          <w:b/>
          <w:color w:val="000000" w:themeColor="text1"/>
          <w:lang w:val="en-GB"/>
        </w:rPr>
        <w:br/>
      </w:r>
      <w:bookmarkStart w:id="1" w:name="_Hlk12866344"/>
      <w:r w:rsidR="004C1BF2" w:rsidRPr="00691A78">
        <w:rPr>
          <w:b/>
          <w:i/>
          <w:lang w:val="en-GB"/>
        </w:rPr>
        <w:t>Background:</w:t>
      </w:r>
      <w:r w:rsidR="004C1BF2">
        <w:rPr>
          <w:lang w:val="en-GB"/>
        </w:rPr>
        <w:t xml:space="preserve"> Since 2015, the World Health Organisation (WHO) recommends i</w:t>
      </w:r>
      <w:r w:rsidR="004C1BF2" w:rsidRPr="00EA56D8">
        <w:rPr>
          <w:lang w:val="en-GB"/>
        </w:rPr>
        <w:t>mmediate initiation of antiretroviral therapy (ART) for all HIV-positive patients</w:t>
      </w:r>
      <w:r w:rsidR="004C1BF2">
        <w:rPr>
          <w:lang w:val="en-GB"/>
        </w:rPr>
        <w:t>. Epidemiological evidence</w:t>
      </w:r>
      <w:r w:rsidR="00AF3BF3">
        <w:rPr>
          <w:lang w:val="en-GB"/>
        </w:rPr>
        <w:t xml:space="preserve"> points </w:t>
      </w:r>
      <w:r w:rsidR="004C1BF2">
        <w:rPr>
          <w:lang w:val="en-GB"/>
        </w:rPr>
        <w:t xml:space="preserve">to </w:t>
      </w:r>
      <w:r w:rsidR="004C1BF2" w:rsidRPr="00EA56D8">
        <w:rPr>
          <w:lang w:val="en-GB"/>
        </w:rPr>
        <w:t>important health benefit</w:t>
      </w:r>
      <w:r w:rsidR="004C1BF2">
        <w:rPr>
          <w:lang w:val="en-GB"/>
        </w:rPr>
        <w:t>s of immediate ART initiation; however, the policy’s economic impact remains unknown</w:t>
      </w:r>
      <w:r w:rsidR="004C1BF2">
        <w:t>.</w:t>
      </w:r>
    </w:p>
    <w:p w14:paraId="641DE464" w14:textId="77777777" w:rsidR="004C1BF2" w:rsidRDefault="004C1BF2" w:rsidP="004C1BF2">
      <w:pPr>
        <w:spacing w:line="276" w:lineRule="auto"/>
        <w:jc w:val="both"/>
        <w:rPr>
          <w:lang w:val="en-GB"/>
        </w:rPr>
      </w:pPr>
    </w:p>
    <w:p w14:paraId="69CFB8A0" w14:textId="6C3009A6" w:rsidR="004C1BF2" w:rsidRDefault="004C1BF2" w:rsidP="004C1BF2">
      <w:pPr>
        <w:spacing w:line="276" w:lineRule="auto"/>
        <w:jc w:val="both"/>
        <w:rPr>
          <w:lang w:val="en-GB"/>
        </w:rPr>
      </w:pPr>
      <w:r w:rsidRPr="00691A78">
        <w:rPr>
          <w:b/>
          <w:i/>
          <w:lang w:val="en-GB"/>
        </w:rPr>
        <w:t>Methods:</w:t>
      </w:r>
      <w:r>
        <w:rPr>
          <w:lang w:val="en-GB"/>
        </w:rPr>
        <w:t xml:space="preserve"> </w:t>
      </w:r>
      <w:r>
        <w:t xml:space="preserve">We conducted </w:t>
      </w:r>
      <w:r w:rsidRPr="004F036B">
        <w:rPr>
          <w:color w:val="000000" w:themeColor="text1"/>
          <w:lang w:val="en-GB"/>
        </w:rPr>
        <w:t xml:space="preserve">a </w:t>
      </w:r>
      <w:bookmarkStart w:id="2" w:name="_Hlk12865636"/>
      <w:r w:rsidRPr="004F036B">
        <w:rPr>
          <w:color w:val="000000" w:themeColor="text1"/>
          <w:lang w:val="en-GB"/>
        </w:rPr>
        <w:t xml:space="preserve">stepped-wedge cluster-randomised controlled trial </w:t>
      </w:r>
      <w:bookmarkEnd w:id="2"/>
      <w:r w:rsidRPr="003631DA">
        <w:rPr>
          <w:color w:val="000000" w:themeColor="text1"/>
          <w:lang w:val="en-GB"/>
        </w:rPr>
        <w:t xml:space="preserve">in Eswatini </w:t>
      </w:r>
      <w:r>
        <w:rPr>
          <w:color w:val="000000" w:themeColor="text1"/>
          <w:lang w:val="en-GB"/>
        </w:rPr>
        <w:t xml:space="preserve">to </w:t>
      </w:r>
      <w:r w:rsidRPr="009A2B37">
        <w:rPr>
          <w:color w:val="000000" w:themeColor="text1"/>
          <w:lang w:val="en-GB"/>
        </w:rPr>
        <w:t>determine the</w:t>
      </w:r>
      <w:r>
        <w:rPr>
          <w:color w:val="000000" w:themeColor="text1"/>
          <w:lang w:val="en-GB"/>
        </w:rPr>
        <w:t xml:space="preserve"> causal</w:t>
      </w:r>
      <w:r w:rsidRPr="009A2B37">
        <w:rPr>
          <w:color w:val="000000" w:themeColor="text1"/>
          <w:lang w:val="en-GB"/>
        </w:rPr>
        <w:t xml:space="preserve"> impact of immediate ART initiation on </w:t>
      </w:r>
      <w:r>
        <w:rPr>
          <w:color w:val="000000" w:themeColor="text1"/>
          <w:lang w:val="en-GB"/>
        </w:rPr>
        <w:t>patients’ economic welfare</w:t>
      </w:r>
      <w:r w:rsidRPr="009A2B37">
        <w:rPr>
          <w:color w:val="000000" w:themeColor="text1"/>
          <w:lang w:val="en-GB"/>
        </w:rPr>
        <w:t xml:space="preserve">. </w:t>
      </w:r>
      <w:r w:rsidRPr="004F036B">
        <w:rPr>
          <w:color w:val="000000" w:themeColor="text1"/>
          <w:lang w:val="en-GB"/>
        </w:rPr>
        <w:t xml:space="preserve">Fourteen healthcare </w:t>
      </w:r>
      <w:r>
        <w:rPr>
          <w:color w:val="000000" w:themeColor="text1"/>
          <w:lang w:val="en-GB"/>
        </w:rPr>
        <w:t xml:space="preserve">facilities </w:t>
      </w:r>
      <w:r w:rsidR="00564BEF">
        <w:rPr>
          <w:color w:val="000000" w:themeColor="text1"/>
          <w:lang w:val="en-GB"/>
        </w:rPr>
        <w:t xml:space="preserve">were non-randomly matched </w:t>
      </w:r>
      <w:r w:rsidR="00564BEF" w:rsidRPr="004F036B">
        <w:rPr>
          <w:color w:val="000000" w:themeColor="text1"/>
          <w:lang w:val="en-GB"/>
        </w:rPr>
        <w:t>in pairs</w:t>
      </w:r>
      <w:r w:rsidR="00564BEF">
        <w:rPr>
          <w:color w:val="000000" w:themeColor="text1"/>
          <w:lang w:val="en-GB"/>
        </w:rPr>
        <w:t xml:space="preserve"> and</w:t>
      </w:r>
      <w:r w:rsidR="00AF3BF3">
        <w:rPr>
          <w:color w:val="000000" w:themeColor="text1"/>
          <w:lang w:val="en-GB"/>
        </w:rPr>
        <w:t xml:space="preserve"> then</w:t>
      </w:r>
      <w:r w:rsidR="00564BEF">
        <w:rPr>
          <w:color w:val="000000" w:themeColor="text1"/>
          <w:lang w:val="en-GB"/>
        </w:rPr>
        <w:t xml:space="preserve"> randomly allocated to transition </w:t>
      </w:r>
      <w:r w:rsidRPr="004F036B">
        <w:rPr>
          <w:color w:val="000000" w:themeColor="text1"/>
          <w:lang w:val="en-GB"/>
        </w:rPr>
        <w:t xml:space="preserve">from the standard of care </w:t>
      </w:r>
      <w:r w:rsidR="00722212" w:rsidRPr="0023630C">
        <w:rPr>
          <w:lang w:val="en-GB"/>
        </w:rPr>
        <w:t xml:space="preserve">(ART eligibility at CD4 counts of &lt; 350 cells/mm3 until September 2016 and &lt;500 cells/mm3 thereafter) </w:t>
      </w:r>
      <w:r w:rsidRPr="004F036B">
        <w:rPr>
          <w:color w:val="000000" w:themeColor="text1"/>
          <w:lang w:val="en-GB"/>
        </w:rPr>
        <w:t xml:space="preserve">to </w:t>
      </w:r>
      <w:r w:rsidR="00564BEF">
        <w:rPr>
          <w:color w:val="000000" w:themeColor="text1"/>
          <w:lang w:val="en-GB"/>
        </w:rPr>
        <w:t xml:space="preserve">the </w:t>
      </w:r>
      <w:r w:rsidR="00564BEF" w:rsidRPr="00564BEF">
        <w:rPr>
          <w:color w:val="000000" w:themeColor="text1"/>
          <w:lang w:val="en-GB"/>
        </w:rPr>
        <w:t>“Early Initiation of ART for All” (EAAA)</w:t>
      </w:r>
      <w:r w:rsidR="00564BEF">
        <w:rPr>
          <w:color w:val="000000" w:themeColor="text1"/>
          <w:lang w:val="en-GB"/>
        </w:rPr>
        <w:t xml:space="preserve"> intervention </w:t>
      </w:r>
      <w:r w:rsidRPr="004F036B">
        <w:rPr>
          <w:color w:val="000000" w:themeColor="text1"/>
          <w:lang w:val="en-GB"/>
        </w:rPr>
        <w:t>at</w:t>
      </w:r>
      <w:r>
        <w:rPr>
          <w:color w:val="000000" w:themeColor="text1"/>
          <w:lang w:val="en-GB"/>
        </w:rPr>
        <w:t xml:space="preserve"> </w:t>
      </w:r>
      <w:r w:rsidRPr="004F036B">
        <w:rPr>
          <w:color w:val="000000" w:themeColor="text1"/>
          <w:lang w:val="en-GB"/>
        </w:rPr>
        <w:t>one of seven timepoints.</w:t>
      </w:r>
      <w:r w:rsidR="00564BEF">
        <w:rPr>
          <w:color w:val="000000" w:themeColor="text1"/>
          <w:lang w:val="en-GB"/>
        </w:rPr>
        <w:t xml:space="preserve"> Patients, healthcare personnel, and outcome assessors remained unblinded. </w:t>
      </w:r>
      <w:r>
        <w:rPr>
          <w:color w:val="000000" w:themeColor="text1"/>
          <w:lang w:val="en-GB"/>
        </w:rPr>
        <w:t xml:space="preserve"> </w:t>
      </w:r>
      <w:r w:rsidR="00722212" w:rsidRPr="00722212">
        <w:rPr>
          <w:color w:val="000000" w:themeColor="text1"/>
          <w:lang w:val="en-GB"/>
        </w:rPr>
        <w:t xml:space="preserve">Data was collected via standardised paper-based </w:t>
      </w:r>
      <w:r w:rsidR="00722212">
        <w:rPr>
          <w:color w:val="000000" w:themeColor="text1"/>
          <w:lang w:val="en-GB"/>
        </w:rPr>
        <w:t xml:space="preserve">surveys with </w:t>
      </w:r>
      <w:r w:rsidR="00722212" w:rsidRPr="00722212">
        <w:rPr>
          <w:color w:val="000000" w:themeColor="text1"/>
          <w:lang w:val="en-GB"/>
        </w:rPr>
        <w:t>HIV-positive</w:t>
      </w:r>
      <w:r w:rsidR="00FF5189">
        <w:rPr>
          <w:color w:val="000000" w:themeColor="text1"/>
          <w:lang w:val="en-GB"/>
        </w:rPr>
        <w:t>,</w:t>
      </w:r>
      <w:r w:rsidR="00722212" w:rsidRPr="00722212">
        <w:rPr>
          <w:color w:val="000000" w:themeColor="text1"/>
          <w:lang w:val="en-GB"/>
        </w:rPr>
        <w:t xml:space="preserve"> ART-naïve</w:t>
      </w:r>
      <w:r w:rsidR="00722212">
        <w:rPr>
          <w:color w:val="000000" w:themeColor="text1"/>
          <w:lang w:val="en-GB"/>
        </w:rPr>
        <w:t xml:space="preserve"> adults</w:t>
      </w:r>
      <w:r w:rsidR="00722212" w:rsidRPr="00722212">
        <w:rPr>
          <w:color w:val="000000" w:themeColor="text1"/>
          <w:lang w:val="en-GB"/>
        </w:rPr>
        <w:t xml:space="preserve"> who were neither pregnant nor breastfeeding</w:t>
      </w:r>
      <w:r w:rsidR="00722212">
        <w:rPr>
          <w:color w:val="000000" w:themeColor="text1"/>
          <w:lang w:val="en-GB"/>
        </w:rPr>
        <w:t>.</w:t>
      </w:r>
      <w:r w:rsidR="00722212" w:rsidRPr="00722212">
        <w:rPr>
          <w:color w:val="000000" w:themeColor="text1"/>
          <w:lang w:val="en-GB"/>
        </w:rPr>
        <w:t xml:space="preserve"> </w:t>
      </w:r>
      <w:r>
        <w:rPr>
          <w:color w:val="000000" w:themeColor="text1"/>
          <w:lang w:val="en-GB"/>
        </w:rPr>
        <w:t>Outcomes were patients’ time use, employment status, household expenditures and household wealth.</w:t>
      </w:r>
      <w:r w:rsidR="00FF5189">
        <w:rPr>
          <w:color w:val="000000" w:themeColor="text1"/>
          <w:lang w:val="en-GB"/>
        </w:rPr>
        <w:t xml:space="preserve"> </w:t>
      </w:r>
    </w:p>
    <w:p w14:paraId="2AADBC89" w14:textId="51F32A31" w:rsidR="004C1BF2" w:rsidRDefault="004C1BF2" w:rsidP="004C1BF2">
      <w:pPr>
        <w:spacing w:line="276" w:lineRule="auto"/>
        <w:jc w:val="both"/>
        <w:rPr>
          <w:color w:val="000000" w:themeColor="text1"/>
        </w:rPr>
      </w:pPr>
      <w:r>
        <w:rPr>
          <w:lang w:val="en-GB"/>
        </w:rPr>
        <w:br/>
      </w:r>
      <w:r w:rsidRPr="00722212">
        <w:rPr>
          <w:b/>
          <w:i/>
          <w:lang w:val="en-GB"/>
        </w:rPr>
        <w:t>Results:</w:t>
      </w:r>
      <w:r>
        <w:rPr>
          <w:lang w:val="en-GB"/>
        </w:rPr>
        <w:t xml:space="preserve"> </w:t>
      </w:r>
      <w:bookmarkStart w:id="3" w:name="_Hlk12866262"/>
      <w:r w:rsidR="007C6ECE">
        <w:rPr>
          <w:lang w:val="en-GB"/>
        </w:rPr>
        <w:t>A total sample of</w:t>
      </w:r>
      <w:r w:rsidR="007C6ECE" w:rsidRPr="009538C0">
        <w:rPr>
          <w:lang w:val="en-GB"/>
        </w:rPr>
        <w:t xml:space="preserve"> </w:t>
      </w:r>
      <w:r w:rsidR="007C6ECE">
        <w:rPr>
          <w:lang w:val="en-GB"/>
        </w:rPr>
        <w:t>3,019</w:t>
      </w:r>
      <w:r w:rsidR="007C6ECE" w:rsidRPr="009538C0">
        <w:rPr>
          <w:lang w:val="en-GB"/>
        </w:rPr>
        <w:t xml:space="preserve"> participants were interviewed over the duration of the study.</w:t>
      </w:r>
      <w:r w:rsidR="007C6ECE">
        <w:rPr>
          <w:lang w:val="en-GB"/>
        </w:rPr>
        <w:t xml:space="preserve"> T</w:t>
      </w:r>
      <w:r w:rsidR="007C6ECE" w:rsidRPr="009538C0">
        <w:rPr>
          <w:lang w:val="en-GB"/>
        </w:rPr>
        <w:t xml:space="preserve">he mean number of participants approached at each facility and time step varied from </w:t>
      </w:r>
      <w:r w:rsidR="007C6ECE">
        <w:rPr>
          <w:lang w:val="en-GB"/>
        </w:rPr>
        <w:t xml:space="preserve">4 to 112 </w:t>
      </w:r>
      <w:r w:rsidR="007C6ECE" w:rsidRPr="009538C0">
        <w:rPr>
          <w:lang w:val="en-GB"/>
        </w:rPr>
        <w:t>participants</w:t>
      </w:r>
      <w:r w:rsidR="007C6ECE">
        <w:rPr>
          <w:lang w:val="en-GB"/>
        </w:rPr>
        <w:t>. Using</w:t>
      </w:r>
      <w:r w:rsidR="00FF5189" w:rsidRPr="00685158">
        <w:rPr>
          <w:color w:val="000000" w:themeColor="text1"/>
          <w:lang w:val="en-GB"/>
        </w:rPr>
        <w:t xml:space="preserve"> mixed-effects negative binomial </w:t>
      </w:r>
      <w:r w:rsidR="007C6ECE">
        <w:rPr>
          <w:color w:val="000000" w:themeColor="text1"/>
          <w:lang w:val="en-GB"/>
        </w:rPr>
        <w:t>r</w:t>
      </w:r>
      <w:r w:rsidR="00FF5189" w:rsidRPr="00685158">
        <w:rPr>
          <w:color w:val="000000" w:themeColor="text1"/>
          <w:lang w:val="en-GB"/>
        </w:rPr>
        <w:t>egressions accounting for time trends and clustering</w:t>
      </w:r>
      <w:r w:rsidR="007C6ECE">
        <w:rPr>
          <w:color w:val="000000" w:themeColor="text1"/>
          <w:lang w:val="en-GB"/>
        </w:rPr>
        <w:t xml:space="preserve">, </w:t>
      </w:r>
      <w:r>
        <w:rPr>
          <w:color w:val="000000" w:themeColor="text1"/>
          <w:lang w:val="en-GB"/>
        </w:rPr>
        <w:t xml:space="preserve">we found </w:t>
      </w:r>
      <w:r w:rsidRPr="004F036B">
        <w:rPr>
          <w:color w:val="000000" w:themeColor="text1"/>
          <w:lang w:val="en-GB"/>
        </w:rPr>
        <w:t>no significant difference between study arms for any economic outcome</w:t>
      </w:r>
      <w:r>
        <w:rPr>
          <w:color w:val="000000" w:themeColor="text1"/>
          <w:lang w:val="en-GB"/>
        </w:rPr>
        <w:t>.</w:t>
      </w:r>
      <w:r w:rsidR="007C6ECE">
        <w:rPr>
          <w:color w:val="000000" w:themeColor="text1"/>
          <w:lang w:val="en-GB"/>
        </w:rPr>
        <w:t xml:space="preserve"> </w:t>
      </w:r>
      <w:r w:rsidR="00AF3BF3">
        <w:rPr>
          <w:color w:val="000000" w:themeColor="text1"/>
          <w:lang w:val="en-GB"/>
        </w:rPr>
        <w:t>Specifically, t</w:t>
      </w:r>
      <w:r w:rsidR="007C6ECE">
        <w:rPr>
          <w:color w:val="000000" w:themeColor="text1"/>
          <w:lang w:val="en-GB"/>
        </w:rPr>
        <w:t xml:space="preserve">he EAAA intervention had no significant effect on non-resting time use </w:t>
      </w:r>
      <w:r w:rsidR="007C6ECE" w:rsidRPr="004F036B">
        <w:rPr>
          <w:color w:val="000000" w:themeColor="text1"/>
          <w:lang w:val="en-GB"/>
        </w:rPr>
        <w:t xml:space="preserve">(RR= 1.00, </w:t>
      </w:r>
      <w:r w:rsidR="00166607">
        <w:rPr>
          <w:color w:val="000000" w:themeColor="text1"/>
          <w:lang w:val="en-GB"/>
        </w:rPr>
        <w:t>[</w:t>
      </w:r>
      <w:r w:rsidR="007C6ECE" w:rsidRPr="004F036B">
        <w:rPr>
          <w:color w:val="000000" w:themeColor="text1"/>
          <w:lang w:val="en-GB"/>
        </w:rPr>
        <w:t>CI: 0.96, 1.05, p=0.9</w:t>
      </w:r>
      <w:r w:rsidR="007C6ECE">
        <w:rPr>
          <w:color w:val="000000" w:themeColor="text1"/>
          <w:lang w:val="en-GB"/>
        </w:rPr>
        <w:t>3</w:t>
      </w:r>
      <w:r w:rsidR="00166607">
        <w:rPr>
          <w:color w:val="000000" w:themeColor="text1"/>
          <w:lang w:val="en-GB"/>
        </w:rPr>
        <w:t>]</w:t>
      </w:r>
      <w:r w:rsidR="007C6ECE" w:rsidRPr="004F036B">
        <w:rPr>
          <w:color w:val="000000" w:themeColor="text1"/>
          <w:lang w:val="en-GB"/>
        </w:rPr>
        <w:t>)</w:t>
      </w:r>
      <w:r w:rsidR="007C6ECE">
        <w:rPr>
          <w:lang w:val="en-GB"/>
        </w:rPr>
        <w:t xml:space="preserve"> or income-generating time use</w:t>
      </w:r>
      <w:r>
        <w:rPr>
          <w:color w:val="000000" w:themeColor="text1"/>
          <w:lang w:val="en-GB"/>
        </w:rPr>
        <w:t xml:space="preserve"> </w:t>
      </w:r>
      <w:r w:rsidR="007C6ECE" w:rsidRPr="004F036B">
        <w:rPr>
          <w:color w:val="000000" w:themeColor="text1"/>
          <w:lang w:val="en-GB"/>
        </w:rPr>
        <w:t xml:space="preserve">(RR= 0.94, </w:t>
      </w:r>
      <w:r w:rsidR="00166607">
        <w:rPr>
          <w:color w:val="000000" w:themeColor="text1"/>
          <w:lang w:val="en-GB"/>
        </w:rPr>
        <w:t>[</w:t>
      </w:r>
      <w:r w:rsidR="007C6ECE" w:rsidRPr="004F036B">
        <w:rPr>
          <w:color w:val="000000" w:themeColor="text1"/>
          <w:lang w:val="en-GB"/>
        </w:rPr>
        <w:t>CI: 0.73,1.20, p=0.6</w:t>
      </w:r>
      <w:r w:rsidR="007C6ECE">
        <w:rPr>
          <w:color w:val="000000" w:themeColor="text1"/>
          <w:lang w:val="en-GB"/>
        </w:rPr>
        <w:t>1</w:t>
      </w:r>
      <w:r w:rsidR="00166607">
        <w:rPr>
          <w:color w:val="000000" w:themeColor="text1"/>
          <w:lang w:val="en-GB"/>
        </w:rPr>
        <w:t>]</w:t>
      </w:r>
      <w:r w:rsidR="007C6ECE" w:rsidRPr="004F036B">
        <w:rPr>
          <w:color w:val="000000" w:themeColor="text1"/>
          <w:lang w:val="en-GB"/>
        </w:rPr>
        <w:t>)</w:t>
      </w:r>
      <w:r w:rsidR="007C6ECE">
        <w:rPr>
          <w:color w:val="000000" w:themeColor="text1"/>
          <w:lang w:val="en-GB"/>
        </w:rPr>
        <w:t xml:space="preserve">. </w:t>
      </w:r>
      <w:r w:rsidR="00B227E7">
        <w:rPr>
          <w:color w:val="000000" w:themeColor="text1"/>
          <w:lang w:val="en-GB"/>
        </w:rPr>
        <w:t xml:space="preserve">Employment and household expenditures decreased slightly but not significantly in the EAAA group, with risk ratios of </w:t>
      </w:r>
      <w:r w:rsidR="00B227E7" w:rsidRPr="00B227E7">
        <w:rPr>
          <w:color w:val="000000" w:themeColor="text1"/>
          <w:lang w:val="en-GB"/>
        </w:rPr>
        <w:t>0.93</w:t>
      </w:r>
      <w:r w:rsidR="00B227E7">
        <w:rPr>
          <w:color w:val="000000" w:themeColor="text1"/>
          <w:lang w:val="en-GB"/>
        </w:rPr>
        <w:t xml:space="preserve"> [</w:t>
      </w:r>
      <w:r w:rsidR="00B227E7" w:rsidRPr="00B227E7">
        <w:rPr>
          <w:color w:val="000000" w:themeColor="text1"/>
          <w:lang w:val="en-GB"/>
        </w:rPr>
        <w:t>CI: 0.82, 1.04, p=0.21</w:t>
      </w:r>
      <w:r w:rsidR="00B227E7">
        <w:rPr>
          <w:color w:val="000000" w:themeColor="text1"/>
          <w:lang w:val="en-GB"/>
        </w:rPr>
        <w:t xml:space="preserve">] and </w:t>
      </w:r>
      <w:r w:rsidR="00B227E7">
        <w:rPr>
          <w:lang w:val="en-GB"/>
        </w:rPr>
        <w:t>0</w:t>
      </w:r>
      <w:r w:rsidR="00B227E7" w:rsidRPr="004F036B">
        <w:rPr>
          <w:lang w:val="en-GB"/>
        </w:rPr>
        <w:t>.9</w:t>
      </w:r>
      <w:r w:rsidR="00B227E7">
        <w:rPr>
          <w:lang w:val="en-GB"/>
        </w:rPr>
        <w:t>2</w:t>
      </w:r>
      <w:r w:rsidR="000904DA">
        <w:rPr>
          <w:lang w:val="en-GB"/>
        </w:rPr>
        <w:t xml:space="preserve"> [</w:t>
      </w:r>
      <w:r w:rsidR="00B227E7" w:rsidRPr="004F036B">
        <w:rPr>
          <w:lang w:val="en-GB"/>
        </w:rPr>
        <w:t>CI: 0.7</w:t>
      </w:r>
      <w:r w:rsidR="00B227E7">
        <w:rPr>
          <w:lang w:val="en-GB"/>
        </w:rPr>
        <w:t>9</w:t>
      </w:r>
      <w:r w:rsidR="00B227E7" w:rsidRPr="004F036B">
        <w:rPr>
          <w:lang w:val="en-GB"/>
        </w:rPr>
        <w:t>, 1.0</w:t>
      </w:r>
      <w:r w:rsidR="00B227E7">
        <w:rPr>
          <w:lang w:val="en-GB"/>
        </w:rPr>
        <w:t>6</w:t>
      </w:r>
      <w:r w:rsidR="00B227E7" w:rsidRPr="004F036B">
        <w:rPr>
          <w:lang w:val="en-GB"/>
        </w:rPr>
        <w:t>, p=0.</w:t>
      </w:r>
      <w:r w:rsidR="00B227E7">
        <w:rPr>
          <w:lang w:val="en-GB"/>
        </w:rPr>
        <w:t>26</w:t>
      </w:r>
      <w:r w:rsidR="000904DA">
        <w:rPr>
          <w:lang w:val="en-GB"/>
        </w:rPr>
        <w:t>]</w:t>
      </w:r>
      <w:r w:rsidR="00B227E7">
        <w:rPr>
          <w:color w:val="000000" w:themeColor="text1"/>
          <w:lang w:val="en-GB"/>
        </w:rPr>
        <w:t>, respectively.</w:t>
      </w:r>
      <w:r w:rsidR="008E6597">
        <w:rPr>
          <w:color w:val="000000" w:themeColor="text1"/>
          <w:lang w:val="en-GB"/>
        </w:rPr>
        <w:t xml:space="preserve"> </w:t>
      </w:r>
      <w:r w:rsidR="007D0559">
        <w:rPr>
          <w:color w:val="000000" w:themeColor="text1"/>
          <w:lang w:val="en-GB"/>
        </w:rPr>
        <w:t xml:space="preserve">We also </w:t>
      </w:r>
      <w:r w:rsidR="008E6597">
        <w:rPr>
          <w:color w:val="000000" w:themeColor="text1"/>
          <w:lang w:val="en-GB"/>
        </w:rPr>
        <w:t>found no significant treatment effect on household</w:t>
      </w:r>
      <w:r w:rsidR="00AF3BF3">
        <w:rPr>
          <w:color w:val="000000" w:themeColor="text1"/>
          <w:lang w:val="en-GB"/>
        </w:rPr>
        <w:t>s’</w:t>
      </w:r>
      <w:r w:rsidR="008E6597">
        <w:rPr>
          <w:color w:val="000000" w:themeColor="text1"/>
          <w:lang w:val="en-GB"/>
        </w:rPr>
        <w:t xml:space="preserve"> asset ownership and living standards (</w:t>
      </w:r>
      <w:r w:rsidR="008E6597" w:rsidRPr="004F036B">
        <w:rPr>
          <w:lang w:val="en-GB"/>
        </w:rPr>
        <w:t>RR=0.9</w:t>
      </w:r>
      <w:r w:rsidR="008E6597">
        <w:rPr>
          <w:lang w:val="en-GB"/>
        </w:rPr>
        <w:t>6</w:t>
      </w:r>
      <w:r w:rsidR="008E6597" w:rsidRPr="004F036B">
        <w:rPr>
          <w:lang w:val="en-GB"/>
        </w:rPr>
        <w:t xml:space="preserve">, </w:t>
      </w:r>
      <w:r w:rsidR="00781A9D">
        <w:rPr>
          <w:lang w:val="en-GB"/>
        </w:rPr>
        <w:t>[</w:t>
      </w:r>
      <w:r w:rsidR="008E6597" w:rsidRPr="004F036B">
        <w:rPr>
          <w:lang w:val="en-GB"/>
        </w:rPr>
        <w:t>CI 0.9</w:t>
      </w:r>
      <w:r w:rsidR="008E6597">
        <w:rPr>
          <w:lang w:val="en-GB"/>
        </w:rPr>
        <w:t>2</w:t>
      </w:r>
      <w:r w:rsidR="008E6597" w:rsidRPr="004F036B">
        <w:rPr>
          <w:lang w:val="en-GB"/>
        </w:rPr>
        <w:t>, 1.0</w:t>
      </w:r>
      <w:r w:rsidR="008E6597">
        <w:rPr>
          <w:lang w:val="en-GB"/>
        </w:rPr>
        <w:t>0</w:t>
      </w:r>
      <w:r w:rsidR="008E6597" w:rsidRPr="004F036B">
        <w:rPr>
          <w:lang w:val="en-GB"/>
        </w:rPr>
        <w:t>, p=0.253</w:t>
      </w:r>
      <w:r w:rsidR="00781A9D">
        <w:rPr>
          <w:lang w:val="en-GB"/>
        </w:rPr>
        <w:t>]</w:t>
      </w:r>
      <w:r w:rsidR="008E6597">
        <w:rPr>
          <w:lang w:val="en-GB"/>
        </w:rPr>
        <w:t>).</w:t>
      </w:r>
      <w:r w:rsidR="00B227E7">
        <w:rPr>
          <w:color w:val="000000" w:themeColor="text1"/>
          <w:lang w:val="en-GB"/>
        </w:rPr>
        <w:t xml:space="preserve"> </w:t>
      </w:r>
      <w:r w:rsidR="007D0559">
        <w:rPr>
          <w:color w:val="000000" w:themeColor="text1"/>
        </w:rPr>
        <w:t>Lastly,</w:t>
      </w:r>
      <w:r>
        <w:rPr>
          <w:color w:val="000000" w:themeColor="text1"/>
        </w:rPr>
        <w:t xml:space="preserve"> </w:t>
      </w:r>
      <w:r w:rsidR="007D0559">
        <w:rPr>
          <w:color w:val="000000" w:themeColor="text1"/>
        </w:rPr>
        <w:t>there was no evidence of</w:t>
      </w:r>
      <w:r w:rsidRPr="004F036B">
        <w:rPr>
          <w:color w:val="000000" w:themeColor="text1"/>
        </w:rPr>
        <w:t xml:space="preserve"> heterogeneity in effect estimates </w:t>
      </w:r>
      <w:bookmarkEnd w:id="3"/>
      <w:r w:rsidRPr="004475D7">
        <w:rPr>
          <w:color w:val="000000" w:themeColor="text1"/>
        </w:rPr>
        <w:t xml:space="preserve">by </w:t>
      </w:r>
      <w:r>
        <w:rPr>
          <w:color w:val="000000" w:themeColor="text1"/>
        </w:rPr>
        <w:t xml:space="preserve">patients’ </w:t>
      </w:r>
      <w:r w:rsidRPr="004475D7">
        <w:rPr>
          <w:color w:val="000000" w:themeColor="text1"/>
        </w:rPr>
        <w:t>sex, age, education</w:t>
      </w:r>
      <w:r>
        <w:rPr>
          <w:color w:val="000000" w:themeColor="text1"/>
        </w:rPr>
        <w:t>,</w:t>
      </w:r>
      <w:r w:rsidRPr="004475D7">
        <w:rPr>
          <w:color w:val="000000" w:themeColor="text1"/>
        </w:rPr>
        <w:t xml:space="preserve"> timing of HIV diagnosis and ART initiation.</w:t>
      </w:r>
      <w:r w:rsidR="007C6ECE">
        <w:rPr>
          <w:color w:val="000000" w:themeColor="text1"/>
        </w:rPr>
        <w:t xml:space="preserve"> </w:t>
      </w:r>
      <w:r w:rsidR="00166607">
        <w:rPr>
          <w:color w:val="000000" w:themeColor="text1"/>
        </w:rPr>
        <w:t xml:space="preserve"> </w:t>
      </w:r>
    </w:p>
    <w:p w14:paraId="4F360651" w14:textId="77777777" w:rsidR="00166607" w:rsidRPr="007D0559" w:rsidRDefault="00166607" w:rsidP="004C1BF2">
      <w:pPr>
        <w:spacing w:line="276" w:lineRule="auto"/>
        <w:jc w:val="both"/>
        <w:rPr>
          <w:b/>
          <w:i/>
        </w:rPr>
      </w:pPr>
    </w:p>
    <w:p w14:paraId="66269D92" w14:textId="77777777" w:rsidR="004C1BF2" w:rsidRPr="004F036B" w:rsidRDefault="004C1BF2" w:rsidP="004C1BF2">
      <w:pPr>
        <w:spacing w:line="276" w:lineRule="auto"/>
        <w:jc w:val="both"/>
      </w:pPr>
      <w:r w:rsidRPr="007D0559">
        <w:rPr>
          <w:b/>
          <w:i/>
          <w:lang w:val="en-GB"/>
        </w:rPr>
        <w:t>Conclusions:</w:t>
      </w:r>
      <w:r>
        <w:rPr>
          <w:lang w:val="en-GB"/>
        </w:rPr>
        <w:t xml:space="preserve"> </w:t>
      </w:r>
      <w:r>
        <w:t xml:space="preserve">Given the neutral effect on patients’ economic welfare but positive effects on health, our findings support further investments into scaling-up immediate ART for all HIV patients. </w:t>
      </w:r>
    </w:p>
    <w:p w14:paraId="7CE683C1" w14:textId="77777777" w:rsidR="004C1BF2" w:rsidRPr="00E32BFE" w:rsidRDefault="004C1BF2" w:rsidP="004C1BF2">
      <w:pPr>
        <w:spacing w:line="276" w:lineRule="auto"/>
        <w:jc w:val="both"/>
        <w:rPr>
          <w:b/>
          <w:i/>
          <w:lang w:val="en-GB"/>
        </w:rPr>
      </w:pPr>
    </w:p>
    <w:p w14:paraId="2CD0A60A" w14:textId="21E66BE9" w:rsidR="004C1BF2" w:rsidRPr="00941FD0" w:rsidRDefault="004C1BF2" w:rsidP="00861A7A">
      <w:pPr>
        <w:spacing w:line="276" w:lineRule="auto"/>
        <w:jc w:val="both"/>
      </w:pPr>
      <w:r w:rsidRPr="00E32BFE">
        <w:rPr>
          <w:b/>
          <w:i/>
          <w:lang w:val="en-GB"/>
        </w:rPr>
        <w:t xml:space="preserve">Trial Registration: </w:t>
      </w:r>
      <w:r w:rsidR="00861A7A" w:rsidRPr="00861A7A">
        <w:t>ClinicalTrials.gov</w:t>
      </w:r>
      <w:r w:rsidR="00861A7A">
        <w:t xml:space="preserve">, </w:t>
      </w:r>
      <w:r w:rsidR="00861A7A" w:rsidRPr="00861A7A">
        <w:t>NCT02909218 and NCT03789448</w:t>
      </w:r>
      <w:r w:rsidR="00861A7A">
        <w:t xml:space="preserve">; ethical approval: </w:t>
      </w:r>
      <w:r w:rsidR="007560DC" w:rsidRPr="007560DC">
        <w:t xml:space="preserve">Eswatini National Health Service Review Board </w:t>
      </w:r>
      <w:r w:rsidR="007560DC">
        <w:t>&amp;</w:t>
      </w:r>
      <w:r w:rsidR="007560DC" w:rsidRPr="007560DC">
        <w:t xml:space="preserve"> Harvard T.H. Chan School of Public Health</w:t>
      </w:r>
      <w:r w:rsidR="00460DF6">
        <w:t xml:space="preserve"> Review Board.</w:t>
      </w:r>
    </w:p>
    <w:p w14:paraId="23D223E2" w14:textId="0449EFCF" w:rsidR="00F64406" w:rsidRDefault="00F64406">
      <w:pPr>
        <w:spacing w:after="160" w:line="259" w:lineRule="auto"/>
      </w:pPr>
      <w:r>
        <w:br w:type="page"/>
      </w:r>
    </w:p>
    <w:bookmarkEnd w:id="1"/>
    <w:p w14:paraId="1AC574A8" w14:textId="3822C70C" w:rsidR="00B64697" w:rsidRDefault="006C2D7C" w:rsidP="009B6A6A">
      <w:pPr>
        <w:pStyle w:val="Heading1"/>
        <w:spacing w:line="360" w:lineRule="auto"/>
        <w:rPr>
          <w:rFonts w:ascii="Times New Roman" w:hAnsi="Times New Roman" w:cs="Times New Roman"/>
          <w:b/>
          <w:color w:val="000000" w:themeColor="text1"/>
          <w:sz w:val="24"/>
          <w:szCs w:val="24"/>
          <w:lang w:val="en-GB"/>
        </w:rPr>
      </w:pPr>
      <w:r w:rsidRPr="004F036B">
        <w:rPr>
          <w:rFonts w:ascii="Times New Roman" w:hAnsi="Times New Roman" w:cs="Times New Roman"/>
          <w:b/>
          <w:color w:val="000000" w:themeColor="text1"/>
          <w:sz w:val="24"/>
          <w:szCs w:val="24"/>
          <w:lang w:val="en-GB"/>
        </w:rPr>
        <w:lastRenderedPageBreak/>
        <w:t>B</w:t>
      </w:r>
      <w:r w:rsidR="00AB3C67" w:rsidRPr="004F036B">
        <w:rPr>
          <w:rFonts w:ascii="Times New Roman" w:hAnsi="Times New Roman" w:cs="Times New Roman"/>
          <w:b/>
          <w:color w:val="000000" w:themeColor="text1"/>
          <w:sz w:val="24"/>
          <w:szCs w:val="24"/>
          <w:lang w:val="en-GB"/>
        </w:rPr>
        <w:t>ackground</w:t>
      </w:r>
    </w:p>
    <w:p w14:paraId="293AF5A0" w14:textId="77777777" w:rsidR="009B6A6A" w:rsidRPr="009B6A6A" w:rsidRDefault="009B6A6A" w:rsidP="009B6A6A">
      <w:pPr>
        <w:rPr>
          <w:lang w:val="en-GB"/>
        </w:rPr>
      </w:pPr>
    </w:p>
    <w:p w14:paraId="04757944" w14:textId="5CF07FFD" w:rsidR="00317B81" w:rsidRPr="004F036B" w:rsidRDefault="00317B81" w:rsidP="00FD7308">
      <w:pPr>
        <w:spacing w:line="480" w:lineRule="auto"/>
        <w:jc w:val="both"/>
        <w:rPr>
          <w:color w:val="000000" w:themeColor="text1"/>
        </w:rPr>
      </w:pPr>
      <w:r w:rsidRPr="004F036B">
        <w:rPr>
          <w:color w:val="000000" w:themeColor="text1"/>
          <w:lang w:val="en-GB"/>
        </w:rPr>
        <w:t xml:space="preserve">Recent trials have pointed to substantial health benefits of immediate </w:t>
      </w:r>
      <w:r w:rsidR="00787A7F">
        <w:rPr>
          <w:color w:val="000000" w:themeColor="text1"/>
          <w:lang w:val="en-GB"/>
        </w:rPr>
        <w:t>antiretroviral therapy (</w:t>
      </w:r>
      <w:r w:rsidRPr="004F036B">
        <w:rPr>
          <w:color w:val="000000" w:themeColor="text1"/>
          <w:lang w:val="en-GB"/>
        </w:rPr>
        <w:t>ART</w:t>
      </w:r>
      <w:r w:rsidR="00787A7F">
        <w:rPr>
          <w:color w:val="000000" w:themeColor="text1"/>
          <w:lang w:val="en-GB"/>
        </w:rPr>
        <w:t>)</w:t>
      </w:r>
      <w:r w:rsidRPr="004F036B">
        <w:rPr>
          <w:color w:val="000000" w:themeColor="text1"/>
          <w:lang w:val="en-GB"/>
        </w:rPr>
        <w:t xml:space="preserve"> initiation for all HIV-positive patients</w:t>
      </w:r>
      <w:r w:rsidR="0084603C">
        <w:rPr>
          <w:color w:val="000000" w:themeColor="text1"/>
        </w:rPr>
        <w:t xml:space="preserve"> compared to initiating ART based on a CD4-cell count threshold</w:t>
      </w:r>
      <w:r w:rsidRPr="004F036B">
        <w:rPr>
          <w:color w:val="000000" w:themeColor="text1"/>
          <w:lang w:val="en-GB"/>
        </w:rPr>
        <w:t>. Benefits include reduced HIV-related mortality and morbidity and decreased transmission risk to HIV-negative sexual partners.</w:t>
      </w:r>
      <w:r w:rsidR="00BF190A" w:rsidRPr="00BF190A">
        <w:rPr>
          <w:vertAlign w:val="superscript"/>
        </w:rPr>
        <w:t>1–5</w:t>
      </w:r>
      <w:r w:rsidRPr="004F036B">
        <w:rPr>
          <w:color w:val="000000" w:themeColor="text1"/>
        </w:rPr>
        <w:t xml:space="preserve"> In line with this</w:t>
      </w:r>
      <w:r w:rsidRPr="004F036B">
        <w:t xml:space="preserve"> </w:t>
      </w:r>
      <w:r w:rsidRPr="004F036B">
        <w:rPr>
          <w:color w:val="000000" w:themeColor="text1"/>
        </w:rPr>
        <w:t>epidemiological evidence, the World Health Organization (WHO) has updated its consolidated guidelines on the use of antiretrovirals in 2015, now advocating for immediate ART initiation (or “universal test and treat”) for all HIV-positive adults, adolescents, and children.</w:t>
      </w:r>
      <w:r w:rsidR="00BF190A" w:rsidRPr="00BF190A">
        <w:rPr>
          <w:vertAlign w:val="superscript"/>
        </w:rPr>
        <w:t>6</w:t>
      </w:r>
    </w:p>
    <w:p w14:paraId="2EDA6E37" w14:textId="2CDD8CF4" w:rsidR="00317B81" w:rsidRPr="004F036B" w:rsidRDefault="00317B81" w:rsidP="00FD7308">
      <w:pPr>
        <w:spacing w:line="480" w:lineRule="auto"/>
        <w:jc w:val="both"/>
        <w:rPr>
          <w:color w:val="000000" w:themeColor="text1"/>
        </w:rPr>
      </w:pPr>
    </w:p>
    <w:p w14:paraId="1FC3D44D" w14:textId="6844ABC9" w:rsidR="00A130A1" w:rsidRPr="004F036B" w:rsidRDefault="00F424E6" w:rsidP="00FD7308">
      <w:pPr>
        <w:spacing w:line="480" w:lineRule="auto"/>
        <w:jc w:val="both"/>
        <w:rPr>
          <w:color w:val="000000" w:themeColor="text1"/>
        </w:rPr>
      </w:pPr>
      <w:r w:rsidRPr="004F036B">
        <w:rPr>
          <w:color w:val="000000" w:themeColor="text1"/>
        </w:rPr>
        <w:t xml:space="preserve">In view of these major changes in ART provision, </w:t>
      </w:r>
      <w:r w:rsidR="002A191E" w:rsidRPr="004F036B">
        <w:rPr>
          <w:color w:val="000000" w:themeColor="text1"/>
        </w:rPr>
        <w:t xml:space="preserve">it is </w:t>
      </w:r>
      <w:r w:rsidRPr="004F036B">
        <w:rPr>
          <w:color w:val="000000" w:themeColor="text1"/>
        </w:rPr>
        <w:t xml:space="preserve">crucial for health policy </w:t>
      </w:r>
      <w:r w:rsidR="005B2ACF" w:rsidRPr="004F036B">
        <w:rPr>
          <w:color w:val="000000" w:themeColor="text1"/>
        </w:rPr>
        <w:t>mak</w:t>
      </w:r>
      <w:r w:rsidR="005B2ACF">
        <w:rPr>
          <w:color w:val="000000" w:themeColor="text1"/>
        </w:rPr>
        <w:t>ers</w:t>
      </w:r>
      <w:r w:rsidR="005B2ACF" w:rsidRPr="004F036B">
        <w:rPr>
          <w:color w:val="000000" w:themeColor="text1"/>
        </w:rPr>
        <w:t xml:space="preserve"> </w:t>
      </w:r>
      <w:r w:rsidR="002A191E" w:rsidRPr="004F036B">
        <w:rPr>
          <w:color w:val="000000" w:themeColor="text1"/>
        </w:rPr>
        <w:t xml:space="preserve">to understand the implications of </w:t>
      </w:r>
      <w:r w:rsidR="00A130A1" w:rsidRPr="004F036B">
        <w:rPr>
          <w:color w:val="000000" w:themeColor="text1"/>
        </w:rPr>
        <w:t>immediate</w:t>
      </w:r>
      <w:r w:rsidR="002A191E" w:rsidRPr="004F036B">
        <w:rPr>
          <w:color w:val="000000" w:themeColor="text1"/>
        </w:rPr>
        <w:t xml:space="preserve"> ART initiation for </w:t>
      </w:r>
      <w:r w:rsidR="005B2ACF">
        <w:rPr>
          <w:color w:val="000000" w:themeColor="text1"/>
        </w:rPr>
        <w:t xml:space="preserve">HIV </w:t>
      </w:r>
      <w:r w:rsidR="002A191E" w:rsidRPr="004F036B">
        <w:rPr>
          <w:color w:val="000000" w:themeColor="text1"/>
        </w:rPr>
        <w:t>patients’ economic welfare</w:t>
      </w:r>
      <w:r w:rsidRPr="004F036B">
        <w:rPr>
          <w:color w:val="000000" w:themeColor="text1"/>
        </w:rPr>
        <w:t>.</w:t>
      </w:r>
      <w:r w:rsidR="00E55070" w:rsidRPr="004F036B">
        <w:rPr>
          <w:color w:val="000000" w:themeColor="text1"/>
        </w:rPr>
        <w:t xml:space="preserve"> </w:t>
      </w:r>
      <w:r w:rsidR="00CB4C67" w:rsidRPr="004F036B">
        <w:rPr>
          <w:color w:val="000000" w:themeColor="text1"/>
        </w:rPr>
        <w:t>At high CD4</w:t>
      </w:r>
      <w:r w:rsidR="005B2ACF">
        <w:rPr>
          <w:color w:val="000000" w:themeColor="text1"/>
        </w:rPr>
        <w:t>-</w:t>
      </w:r>
      <w:r w:rsidR="00CB4C67" w:rsidRPr="004F036B">
        <w:rPr>
          <w:color w:val="000000" w:themeColor="text1"/>
        </w:rPr>
        <w:t>count levels, we would expect the majority of patients to be</w:t>
      </w:r>
      <w:r w:rsidR="00EF5E28" w:rsidRPr="004F036B">
        <w:rPr>
          <w:color w:val="000000" w:themeColor="text1"/>
        </w:rPr>
        <w:t xml:space="preserve"> relatively</w:t>
      </w:r>
      <w:r w:rsidR="00CB4C67" w:rsidRPr="004F036B">
        <w:rPr>
          <w:color w:val="000000" w:themeColor="text1"/>
        </w:rPr>
        <w:t xml:space="preserve"> healthy</w:t>
      </w:r>
      <w:r w:rsidR="00D84A2A" w:rsidRPr="004F036B">
        <w:rPr>
          <w:color w:val="000000" w:themeColor="text1"/>
        </w:rPr>
        <w:t xml:space="preserve">, </w:t>
      </w:r>
      <w:r w:rsidR="004C09D8" w:rsidRPr="004F036B">
        <w:rPr>
          <w:color w:val="000000" w:themeColor="text1"/>
        </w:rPr>
        <w:t>and</w:t>
      </w:r>
      <w:r w:rsidR="00CB4C67" w:rsidRPr="004F036B">
        <w:rPr>
          <w:color w:val="000000" w:themeColor="text1"/>
        </w:rPr>
        <w:t xml:space="preserve"> </w:t>
      </w:r>
      <w:r w:rsidR="00D84A2A" w:rsidRPr="004F036B">
        <w:rPr>
          <w:color w:val="000000" w:themeColor="text1"/>
        </w:rPr>
        <w:t xml:space="preserve">thus </w:t>
      </w:r>
      <w:r w:rsidR="00CB4C67" w:rsidRPr="004F036B">
        <w:rPr>
          <w:color w:val="000000" w:themeColor="text1"/>
        </w:rPr>
        <w:t>have productivity levels</w:t>
      </w:r>
      <w:r w:rsidR="004C09D8" w:rsidRPr="004F036B">
        <w:rPr>
          <w:color w:val="000000" w:themeColor="text1"/>
        </w:rPr>
        <w:t xml:space="preserve"> and</w:t>
      </w:r>
      <w:r w:rsidR="00CB4C67" w:rsidRPr="004F036B">
        <w:rPr>
          <w:color w:val="000000" w:themeColor="text1"/>
        </w:rPr>
        <w:t xml:space="preserve"> out-of-pocket health expenditures that are similar to those of HIV-negative patients</w:t>
      </w:r>
      <w:r w:rsidR="005A4A6E">
        <w:rPr>
          <w:color w:val="000000" w:themeColor="text1"/>
        </w:rPr>
        <w:t>.</w:t>
      </w:r>
      <w:r w:rsidR="00647E8F" w:rsidRPr="00647E8F">
        <w:rPr>
          <w:vertAlign w:val="superscript"/>
        </w:rPr>
        <w:t>7</w:t>
      </w:r>
      <w:r w:rsidR="005A4A6E">
        <w:rPr>
          <w:color w:val="000000" w:themeColor="text1"/>
        </w:rPr>
        <w:t xml:space="preserve"> </w:t>
      </w:r>
      <w:r w:rsidR="00E93095">
        <w:rPr>
          <w:color w:val="000000" w:themeColor="text1"/>
        </w:rPr>
        <w:t>While ART may still i</w:t>
      </w:r>
      <w:r w:rsidR="00416BE0">
        <w:rPr>
          <w:color w:val="000000" w:themeColor="text1"/>
        </w:rPr>
        <w:t>mprove</w:t>
      </w:r>
      <w:r w:rsidR="00E93095">
        <w:rPr>
          <w:color w:val="000000" w:themeColor="text1"/>
        </w:rPr>
        <w:t xml:space="preserve"> economic welfare among these patients through an improvement in health status, it may also decrease </w:t>
      </w:r>
      <w:r w:rsidR="0038401C">
        <w:rPr>
          <w:color w:val="000000" w:themeColor="text1"/>
        </w:rPr>
        <w:t>these patients’</w:t>
      </w:r>
      <w:r w:rsidR="00E93095">
        <w:rPr>
          <w:color w:val="000000" w:themeColor="text1"/>
        </w:rPr>
        <w:t xml:space="preserve"> economic welfare through</w:t>
      </w:r>
      <w:r w:rsidR="00E65C85">
        <w:rPr>
          <w:color w:val="000000" w:themeColor="text1"/>
        </w:rPr>
        <w:t>, for example,</w:t>
      </w:r>
      <w:r w:rsidR="00E93095">
        <w:rPr>
          <w:color w:val="000000" w:themeColor="text1"/>
        </w:rPr>
        <w:t xml:space="preserve"> the side effects of </w:t>
      </w:r>
      <w:r w:rsidR="006A41F2">
        <w:rPr>
          <w:color w:val="000000" w:themeColor="text1"/>
        </w:rPr>
        <w:t>antiretroviral drugs</w:t>
      </w:r>
      <w:r w:rsidR="005A3CEE">
        <w:rPr>
          <w:color w:val="000000" w:themeColor="text1"/>
        </w:rPr>
        <w:t>, increased frequency of (ART) clinic visits</w:t>
      </w:r>
      <w:r w:rsidR="00E93095">
        <w:rPr>
          <w:color w:val="000000" w:themeColor="text1"/>
        </w:rPr>
        <w:t xml:space="preserve"> or stigma from taking ART.</w:t>
      </w:r>
      <w:r w:rsidR="00180DDD" w:rsidRPr="00180DDD">
        <w:rPr>
          <w:vertAlign w:val="superscript"/>
        </w:rPr>
        <w:t>8,9</w:t>
      </w:r>
      <w:r w:rsidR="00E93095">
        <w:rPr>
          <w:color w:val="000000" w:themeColor="text1"/>
        </w:rPr>
        <w:t xml:space="preserve"> </w:t>
      </w:r>
      <w:r w:rsidR="00CE62DA" w:rsidRPr="004F036B">
        <w:rPr>
          <w:color w:val="000000" w:themeColor="text1"/>
        </w:rPr>
        <w:t xml:space="preserve">The economic consequences of early ART initiation for this </w:t>
      </w:r>
      <w:r w:rsidR="00A4576E" w:rsidRPr="004F036B">
        <w:rPr>
          <w:color w:val="000000" w:themeColor="text1"/>
        </w:rPr>
        <w:t xml:space="preserve">specific </w:t>
      </w:r>
      <w:r w:rsidR="00CE62DA" w:rsidRPr="004F036B">
        <w:rPr>
          <w:color w:val="000000" w:themeColor="text1"/>
        </w:rPr>
        <w:t xml:space="preserve">patient group </w:t>
      </w:r>
      <w:r w:rsidR="00A4576E" w:rsidRPr="004F036B">
        <w:rPr>
          <w:color w:val="000000" w:themeColor="text1"/>
        </w:rPr>
        <w:t>are</w:t>
      </w:r>
      <w:r w:rsidR="00CE62DA" w:rsidRPr="004F036B">
        <w:rPr>
          <w:color w:val="000000" w:themeColor="text1"/>
        </w:rPr>
        <w:t xml:space="preserve"> therefore unclear</w:t>
      </w:r>
      <w:r w:rsidR="00A4576E" w:rsidRPr="004F036B">
        <w:rPr>
          <w:color w:val="000000" w:themeColor="text1"/>
        </w:rPr>
        <w:t xml:space="preserve"> and</w:t>
      </w:r>
      <w:r w:rsidR="00CE62DA" w:rsidRPr="004F036B">
        <w:rPr>
          <w:color w:val="000000" w:themeColor="text1"/>
        </w:rPr>
        <w:t xml:space="preserve"> </w:t>
      </w:r>
      <w:r w:rsidR="00A4576E" w:rsidRPr="004F036B">
        <w:rPr>
          <w:color w:val="000000" w:themeColor="text1"/>
        </w:rPr>
        <w:t>have</w:t>
      </w:r>
      <w:r w:rsidR="00CE62DA" w:rsidRPr="004F036B">
        <w:rPr>
          <w:color w:val="000000" w:themeColor="text1"/>
        </w:rPr>
        <w:t xml:space="preserve"> to date not been investigated experimentally. </w:t>
      </w:r>
      <w:r w:rsidR="00A130A1" w:rsidRPr="004F036B">
        <w:rPr>
          <w:color w:val="000000" w:themeColor="text1"/>
        </w:rPr>
        <w:t xml:space="preserve"> </w:t>
      </w:r>
    </w:p>
    <w:p w14:paraId="3CBE24C2" w14:textId="77777777" w:rsidR="00A130A1" w:rsidRPr="004F036B" w:rsidRDefault="00A130A1" w:rsidP="00FD7308">
      <w:pPr>
        <w:spacing w:line="480" w:lineRule="auto"/>
        <w:jc w:val="both"/>
        <w:rPr>
          <w:color w:val="000000" w:themeColor="text1"/>
        </w:rPr>
      </w:pPr>
    </w:p>
    <w:p w14:paraId="26F6817B" w14:textId="6B439412" w:rsidR="00717614" w:rsidRPr="004F036B" w:rsidRDefault="00EF5E28" w:rsidP="00FD7308">
      <w:pPr>
        <w:spacing w:line="480" w:lineRule="auto"/>
        <w:jc w:val="both"/>
        <w:rPr>
          <w:color w:val="000000" w:themeColor="text1"/>
        </w:rPr>
      </w:pPr>
      <w:r w:rsidRPr="004F036B">
        <w:rPr>
          <w:color w:val="000000" w:themeColor="text1"/>
        </w:rPr>
        <w:t>P</w:t>
      </w:r>
      <w:r w:rsidR="00A4576E" w:rsidRPr="004F036B">
        <w:rPr>
          <w:color w:val="000000" w:themeColor="text1"/>
        </w:rPr>
        <w:t xml:space="preserve">revious </w:t>
      </w:r>
      <w:r w:rsidR="009E06AC" w:rsidRPr="004F036B">
        <w:rPr>
          <w:color w:val="000000" w:themeColor="text1"/>
        </w:rPr>
        <w:t>studies have</w:t>
      </w:r>
      <w:r w:rsidR="00A4576E" w:rsidRPr="004F036B">
        <w:rPr>
          <w:color w:val="000000" w:themeColor="text1"/>
        </w:rPr>
        <w:t xml:space="preserve"> assessed </w:t>
      </w:r>
      <w:proofErr w:type="spellStart"/>
      <w:r w:rsidR="00A4576E" w:rsidRPr="004F036B">
        <w:rPr>
          <w:color w:val="000000" w:themeColor="text1"/>
        </w:rPr>
        <w:t>labour</w:t>
      </w:r>
      <w:proofErr w:type="spellEnd"/>
      <w:r w:rsidR="00A4576E" w:rsidRPr="004F036B">
        <w:rPr>
          <w:color w:val="000000" w:themeColor="text1"/>
        </w:rPr>
        <w:t xml:space="preserve"> market outcomes and </w:t>
      </w:r>
      <w:r w:rsidR="00D335AE" w:rsidRPr="004F036B">
        <w:rPr>
          <w:color w:val="000000" w:themeColor="text1"/>
        </w:rPr>
        <w:t xml:space="preserve">overall </w:t>
      </w:r>
      <w:r w:rsidR="00A4576E" w:rsidRPr="004F036B">
        <w:rPr>
          <w:color w:val="000000" w:themeColor="text1"/>
        </w:rPr>
        <w:t>financ</w:t>
      </w:r>
      <w:r w:rsidR="00D335AE" w:rsidRPr="004F036B">
        <w:rPr>
          <w:color w:val="000000" w:themeColor="text1"/>
        </w:rPr>
        <w:t>ial wellbeing of</w:t>
      </w:r>
      <w:r w:rsidR="00A4576E" w:rsidRPr="004F036B">
        <w:rPr>
          <w:color w:val="000000" w:themeColor="text1"/>
        </w:rPr>
        <w:t xml:space="preserve"> patients on ART</w:t>
      </w:r>
      <w:r w:rsidR="00A130A1" w:rsidRPr="004F036B">
        <w:rPr>
          <w:color w:val="000000" w:themeColor="text1"/>
        </w:rPr>
        <w:t>,</w:t>
      </w:r>
      <w:r w:rsidR="00A4576E" w:rsidRPr="004F036B">
        <w:rPr>
          <w:color w:val="000000" w:themeColor="text1"/>
        </w:rPr>
        <w:t xml:space="preserve"> relative to patients not yet on ART. Of these, several studies have</w:t>
      </w:r>
      <w:r w:rsidR="009E06AC" w:rsidRPr="004F036B">
        <w:rPr>
          <w:color w:val="000000" w:themeColor="text1"/>
        </w:rPr>
        <w:t xml:space="preserve"> highlighted beneficial economic impacts of ART initiation, which are primarily based on the positive </w:t>
      </w:r>
      <w:proofErr w:type="spellStart"/>
      <w:r w:rsidR="009E06AC" w:rsidRPr="004F036B">
        <w:rPr>
          <w:color w:val="000000" w:themeColor="text1"/>
        </w:rPr>
        <w:t>labour</w:t>
      </w:r>
      <w:proofErr w:type="spellEnd"/>
      <w:r w:rsidR="009E06AC" w:rsidRPr="004F036B">
        <w:rPr>
          <w:color w:val="000000" w:themeColor="text1"/>
        </w:rPr>
        <w:t xml:space="preserve"> market effects of improved health. Accordingly, empirical evidence </w:t>
      </w:r>
      <w:r w:rsidR="000576CE" w:rsidRPr="004F036B">
        <w:rPr>
          <w:color w:val="000000" w:themeColor="text1"/>
        </w:rPr>
        <w:t>has pointed to</w:t>
      </w:r>
      <w:r w:rsidR="009E06AC" w:rsidRPr="004F036B">
        <w:rPr>
          <w:color w:val="000000" w:themeColor="text1"/>
        </w:rPr>
        <w:t xml:space="preserve"> higher work performance and productivity,</w:t>
      </w:r>
      <w:r w:rsidR="00180DDD" w:rsidRPr="00180DDD">
        <w:rPr>
          <w:vertAlign w:val="superscript"/>
        </w:rPr>
        <w:t>10–13</w:t>
      </w:r>
      <w:r w:rsidR="009E06AC" w:rsidRPr="004F036B">
        <w:rPr>
          <w:color w:val="000000" w:themeColor="text1"/>
        </w:rPr>
        <w:t xml:space="preserve"> lower absenteeism</w:t>
      </w:r>
      <w:r w:rsidR="00BF6D9C">
        <w:rPr>
          <w:color w:val="000000" w:themeColor="text1"/>
        </w:rPr>
        <w:t>,</w:t>
      </w:r>
      <w:r w:rsidR="00BF6D9C" w:rsidRPr="00BF6D9C">
        <w:rPr>
          <w:vertAlign w:val="superscript"/>
        </w:rPr>
        <w:t>11</w:t>
      </w:r>
      <w:r w:rsidR="009E06AC" w:rsidRPr="004F036B">
        <w:rPr>
          <w:color w:val="000000" w:themeColor="text1"/>
        </w:rPr>
        <w:t xml:space="preserve"> increases in savings rates</w:t>
      </w:r>
      <w:r w:rsidR="005A3CEE">
        <w:rPr>
          <w:color w:val="000000" w:themeColor="text1"/>
        </w:rPr>
        <w:t>,</w:t>
      </w:r>
      <w:r w:rsidR="00180DDD" w:rsidRPr="00180DDD">
        <w:rPr>
          <w:vertAlign w:val="superscript"/>
        </w:rPr>
        <w:t>15</w:t>
      </w:r>
      <w:r w:rsidR="002853F9">
        <w:rPr>
          <w:color w:val="000000" w:themeColor="text1"/>
        </w:rPr>
        <w:t xml:space="preserve"> </w:t>
      </w:r>
      <w:r w:rsidR="00306377">
        <w:rPr>
          <w:color w:val="000000" w:themeColor="text1"/>
        </w:rPr>
        <w:t xml:space="preserve">as well as increased </w:t>
      </w:r>
      <w:r w:rsidR="009E06AC" w:rsidRPr="004F036B">
        <w:rPr>
          <w:color w:val="000000" w:themeColor="text1"/>
        </w:rPr>
        <w:t>educational expenditures</w:t>
      </w:r>
      <w:r w:rsidR="00BF6D9C">
        <w:rPr>
          <w:color w:val="000000" w:themeColor="text1"/>
        </w:rPr>
        <w:t xml:space="preserve"> </w:t>
      </w:r>
      <w:r w:rsidR="00306377">
        <w:rPr>
          <w:color w:val="000000" w:themeColor="text1"/>
        </w:rPr>
        <w:t>and</w:t>
      </w:r>
      <w:r w:rsidR="002853F9">
        <w:rPr>
          <w:color w:val="000000" w:themeColor="text1"/>
        </w:rPr>
        <w:t xml:space="preserve"> </w:t>
      </w:r>
      <w:r w:rsidR="00306377">
        <w:rPr>
          <w:color w:val="000000" w:themeColor="text1"/>
        </w:rPr>
        <w:t>attainment</w:t>
      </w:r>
      <w:r w:rsidR="00180DDD" w:rsidRPr="00180DDD">
        <w:rPr>
          <w:vertAlign w:val="superscript"/>
        </w:rPr>
        <w:t>15,16</w:t>
      </w:r>
      <w:r w:rsidR="00471D02">
        <w:rPr>
          <w:color w:val="000000" w:themeColor="text1"/>
        </w:rPr>
        <w:t xml:space="preserve"> </w:t>
      </w:r>
      <w:r w:rsidR="00377706" w:rsidRPr="004F036B">
        <w:rPr>
          <w:color w:val="000000" w:themeColor="text1"/>
        </w:rPr>
        <w:t>following</w:t>
      </w:r>
      <w:r w:rsidR="009E06AC" w:rsidRPr="004F036B">
        <w:rPr>
          <w:color w:val="000000" w:themeColor="text1"/>
        </w:rPr>
        <w:t xml:space="preserve"> ART initiation. </w:t>
      </w:r>
      <w:r w:rsidR="00FC1BB6" w:rsidRPr="004F036B">
        <w:rPr>
          <w:color w:val="000000" w:themeColor="text1"/>
        </w:rPr>
        <w:t xml:space="preserve">Conversely, </w:t>
      </w:r>
      <w:r w:rsidR="00A4576E" w:rsidRPr="004F036B">
        <w:rPr>
          <w:color w:val="000000" w:themeColor="text1"/>
        </w:rPr>
        <w:t>other</w:t>
      </w:r>
      <w:r w:rsidR="000D3307" w:rsidRPr="004F036B">
        <w:rPr>
          <w:color w:val="000000" w:themeColor="text1"/>
        </w:rPr>
        <w:t xml:space="preserve"> studies have </w:t>
      </w:r>
      <w:r w:rsidR="006D63CF" w:rsidRPr="004F036B">
        <w:rPr>
          <w:color w:val="000000" w:themeColor="text1"/>
        </w:rPr>
        <w:t>documented</w:t>
      </w:r>
      <w:r w:rsidR="00752498" w:rsidRPr="004F036B">
        <w:rPr>
          <w:color w:val="000000" w:themeColor="text1"/>
        </w:rPr>
        <w:t xml:space="preserve"> detrimental</w:t>
      </w:r>
      <w:r w:rsidR="00B11514" w:rsidRPr="004F036B">
        <w:rPr>
          <w:color w:val="000000" w:themeColor="text1"/>
        </w:rPr>
        <w:t xml:space="preserve"> economic</w:t>
      </w:r>
      <w:r w:rsidR="00752498" w:rsidRPr="004F036B">
        <w:rPr>
          <w:color w:val="000000" w:themeColor="text1"/>
        </w:rPr>
        <w:t xml:space="preserve"> effects of</w:t>
      </w:r>
      <w:r w:rsidR="008960F5">
        <w:rPr>
          <w:color w:val="000000" w:themeColor="text1"/>
        </w:rPr>
        <w:t xml:space="preserve"> </w:t>
      </w:r>
      <w:r w:rsidR="00752498" w:rsidRPr="004F036B">
        <w:rPr>
          <w:color w:val="000000" w:themeColor="text1"/>
        </w:rPr>
        <w:t>ART initiation</w:t>
      </w:r>
      <w:r w:rsidR="008960F5">
        <w:rPr>
          <w:color w:val="000000" w:themeColor="text1"/>
        </w:rPr>
        <w:t xml:space="preserve"> (even under </w:t>
      </w:r>
      <w:r w:rsidR="00532E83">
        <w:rPr>
          <w:color w:val="000000" w:themeColor="text1"/>
        </w:rPr>
        <w:t>universal access to ART schemes)</w:t>
      </w:r>
      <w:r w:rsidR="002546B0" w:rsidRPr="004F036B">
        <w:rPr>
          <w:color w:val="000000" w:themeColor="text1"/>
        </w:rPr>
        <w:t xml:space="preserve">, largely driven by three </w:t>
      </w:r>
      <w:r w:rsidR="00254A62" w:rsidRPr="004F036B">
        <w:rPr>
          <w:color w:val="000000" w:themeColor="text1"/>
        </w:rPr>
        <w:t>suggest</w:t>
      </w:r>
      <w:r w:rsidR="006576A0" w:rsidRPr="004F036B">
        <w:rPr>
          <w:color w:val="000000" w:themeColor="text1"/>
        </w:rPr>
        <w:t>ed</w:t>
      </w:r>
      <w:r w:rsidR="00254A62" w:rsidRPr="004F036B">
        <w:rPr>
          <w:color w:val="000000" w:themeColor="text1"/>
        </w:rPr>
        <w:t xml:space="preserve"> </w:t>
      </w:r>
      <w:r w:rsidR="002546B0" w:rsidRPr="004F036B">
        <w:rPr>
          <w:color w:val="000000" w:themeColor="text1"/>
        </w:rPr>
        <w:t>mechanism</w:t>
      </w:r>
      <w:r w:rsidR="00254A62" w:rsidRPr="004F036B">
        <w:rPr>
          <w:color w:val="000000" w:themeColor="text1"/>
        </w:rPr>
        <w:t xml:space="preserve">s: first, </w:t>
      </w:r>
      <w:r w:rsidR="006160FF" w:rsidRPr="004F036B">
        <w:rPr>
          <w:color w:val="000000" w:themeColor="text1"/>
        </w:rPr>
        <w:t xml:space="preserve">by </w:t>
      </w:r>
      <w:r w:rsidR="00254A62" w:rsidRPr="004F036B">
        <w:rPr>
          <w:color w:val="000000" w:themeColor="text1"/>
        </w:rPr>
        <w:t>increased patient-borne healthcare expenditures associated with travel to ART clinics</w:t>
      </w:r>
      <w:r w:rsidR="00B11514" w:rsidRPr="004F036B">
        <w:rPr>
          <w:color w:val="000000" w:themeColor="text1"/>
        </w:rPr>
        <w:t xml:space="preserve">, </w:t>
      </w:r>
      <w:r w:rsidR="009B5A27" w:rsidRPr="004F036B">
        <w:rPr>
          <w:color w:val="000000" w:themeColor="text1"/>
        </w:rPr>
        <w:t xml:space="preserve">clinic and hospital </w:t>
      </w:r>
      <w:r w:rsidR="00B11514" w:rsidRPr="004F036B">
        <w:rPr>
          <w:color w:val="000000" w:themeColor="text1"/>
        </w:rPr>
        <w:t>fees, and income foregone</w:t>
      </w:r>
      <w:r w:rsidR="005B4343" w:rsidRPr="004F036B">
        <w:rPr>
          <w:color w:val="000000" w:themeColor="text1"/>
        </w:rPr>
        <w:t>;</w:t>
      </w:r>
      <w:r w:rsidR="00180DDD" w:rsidRPr="00180DDD">
        <w:rPr>
          <w:vertAlign w:val="superscript"/>
        </w:rPr>
        <w:t>17–19</w:t>
      </w:r>
      <w:r w:rsidR="005B4343" w:rsidRPr="004F036B">
        <w:rPr>
          <w:color w:val="000000" w:themeColor="text1"/>
        </w:rPr>
        <w:t xml:space="preserve"> </w:t>
      </w:r>
      <w:r w:rsidR="00B11514" w:rsidRPr="004F036B">
        <w:rPr>
          <w:color w:val="000000" w:themeColor="text1"/>
        </w:rPr>
        <w:t xml:space="preserve">second, </w:t>
      </w:r>
      <w:r w:rsidR="008F08EC" w:rsidRPr="004F036B">
        <w:rPr>
          <w:color w:val="000000" w:themeColor="text1"/>
        </w:rPr>
        <w:t>by elevated levels of</w:t>
      </w:r>
      <w:r w:rsidR="00B11514" w:rsidRPr="004F036B">
        <w:rPr>
          <w:color w:val="000000" w:themeColor="text1"/>
        </w:rPr>
        <w:t xml:space="preserve"> food insecurity due to </w:t>
      </w:r>
      <w:r w:rsidR="008C6D2E">
        <w:rPr>
          <w:color w:val="000000" w:themeColor="text1"/>
        </w:rPr>
        <w:t xml:space="preserve">a </w:t>
      </w:r>
      <w:r w:rsidR="00B11514" w:rsidRPr="004F036B">
        <w:rPr>
          <w:color w:val="000000" w:themeColor="text1"/>
        </w:rPr>
        <w:t xml:space="preserve">treatment-induced </w:t>
      </w:r>
      <w:r w:rsidR="008C6D2E">
        <w:rPr>
          <w:color w:val="000000" w:themeColor="text1"/>
        </w:rPr>
        <w:t xml:space="preserve">increase in </w:t>
      </w:r>
      <w:r w:rsidR="00B11514" w:rsidRPr="004F036B">
        <w:rPr>
          <w:color w:val="000000" w:themeColor="text1"/>
        </w:rPr>
        <w:t>appetite and</w:t>
      </w:r>
      <w:r w:rsidR="003F680E" w:rsidRPr="004F036B">
        <w:rPr>
          <w:color w:val="000000" w:themeColor="text1"/>
        </w:rPr>
        <w:t xml:space="preserve"> fewer</w:t>
      </w:r>
      <w:r w:rsidR="00A130A1" w:rsidRPr="004F036B">
        <w:rPr>
          <w:color w:val="000000" w:themeColor="text1"/>
        </w:rPr>
        <w:t xml:space="preserve"> financial</w:t>
      </w:r>
      <w:r w:rsidR="003F680E" w:rsidRPr="004F036B">
        <w:rPr>
          <w:color w:val="000000" w:themeColor="text1"/>
        </w:rPr>
        <w:t xml:space="preserve"> resources to absorb </w:t>
      </w:r>
      <w:r w:rsidR="00850821">
        <w:rPr>
          <w:color w:val="000000" w:themeColor="text1"/>
        </w:rPr>
        <w:t>the higher food expenditures</w:t>
      </w:r>
      <w:r w:rsidR="005B4343" w:rsidRPr="004F036B">
        <w:rPr>
          <w:color w:val="000000" w:themeColor="text1"/>
        </w:rPr>
        <w:t>;</w:t>
      </w:r>
      <w:r w:rsidR="00180DDD" w:rsidRPr="00180DDD">
        <w:rPr>
          <w:vertAlign w:val="superscript"/>
        </w:rPr>
        <w:t>20</w:t>
      </w:r>
      <w:r w:rsidR="00DC0449" w:rsidRPr="004F036B">
        <w:rPr>
          <w:color w:val="000000" w:themeColor="text1"/>
        </w:rPr>
        <w:t xml:space="preserve"> and third, by reduced productivity </w:t>
      </w:r>
      <w:r w:rsidR="00E65C85">
        <w:rPr>
          <w:color w:val="000000" w:themeColor="text1"/>
        </w:rPr>
        <w:t>as a</w:t>
      </w:r>
      <w:r w:rsidR="00E65C85" w:rsidRPr="004F036B">
        <w:rPr>
          <w:color w:val="000000" w:themeColor="text1"/>
        </w:rPr>
        <w:t xml:space="preserve"> </w:t>
      </w:r>
      <w:r w:rsidR="00DC0449" w:rsidRPr="004F036B">
        <w:rPr>
          <w:color w:val="000000" w:themeColor="text1"/>
        </w:rPr>
        <w:t>result of short-term adverse and toxic effects linked to antiretroviral drugs</w:t>
      </w:r>
      <w:r w:rsidR="005B4343" w:rsidRPr="004F036B">
        <w:rPr>
          <w:color w:val="000000" w:themeColor="text1"/>
        </w:rPr>
        <w:t>.</w:t>
      </w:r>
      <w:r w:rsidR="00180DDD" w:rsidRPr="00180DDD">
        <w:rPr>
          <w:vertAlign w:val="superscript"/>
        </w:rPr>
        <w:t>1,17</w:t>
      </w:r>
      <w:r w:rsidR="00BC0B90" w:rsidRPr="004F036B">
        <w:rPr>
          <w:color w:val="000000" w:themeColor="text1"/>
        </w:rPr>
        <w:t xml:space="preserve"> </w:t>
      </w:r>
      <w:r w:rsidR="00A4576E" w:rsidRPr="004F036B">
        <w:rPr>
          <w:color w:val="000000" w:themeColor="text1"/>
        </w:rPr>
        <w:t>However, these</w:t>
      </w:r>
      <w:r w:rsidR="00D335AE" w:rsidRPr="004F036B">
        <w:rPr>
          <w:color w:val="000000" w:themeColor="text1"/>
        </w:rPr>
        <w:t xml:space="preserve"> </w:t>
      </w:r>
      <w:r w:rsidR="00906A84" w:rsidRPr="004F036B">
        <w:rPr>
          <w:color w:val="000000" w:themeColor="text1"/>
        </w:rPr>
        <w:t>previous</w:t>
      </w:r>
      <w:r w:rsidR="00A4576E" w:rsidRPr="004F036B">
        <w:rPr>
          <w:color w:val="000000" w:themeColor="text1"/>
        </w:rPr>
        <w:t xml:space="preserve"> studies </w:t>
      </w:r>
      <w:r w:rsidR="00D335AE" w:rsidRPr="004F036B">
        <w:rPr>
          <w:color w:val="000000" w:themeColor="text1"/>
        </w:rPr>
        <w:t xml:space="preserve">provide only little insights on the anticipated economic effects of </w:t>
      </w:r>
      <w:r w:rsidR="00A130A1" w:rsidRPr="004F036B">
        <w:rPr>
          <w:color w:val="000000" w:themeColor="text1"/>
        </w:rPr>
        <w:t>immediate</w:t>
      </w:r>
      <w:r w:rsidR="00D335AE" w:rsidRPr="004F036B">
        <w:rPr>
          <w:color w:val="000000" w:themeColor="text1"/>
        </w:rPr>
        <w:t xml:space="preserve"> ART initiation</w:t>
      </w:r>
      <w:r w:rsidR="00717614" w:rsidRPr="004F036B">
        <w:rPr>
          <w:color w:val="000000" w:themeColor="text1"/>
        </w:rPr>
        <w:t xml:space="preserve"> </w:t>
      </w:r>
      <w:r w:rsidR="007213D0">
        <w:rPr>
          <w:color w:val="000000" w:themeColor="text1"/>
        </w:rPr>
        <w:t>because</w:t>
      </w:r>
      <w:r w:rsidR="007213D0" w:rsidRPr="004F036B">
        <w:rPr>
          <w:color w:val="000000" w:themeColor="text1"/>
        </w:rPr>
        <w:t xml:space="preserve"> </w:t>
      </w:r>
      <w:r w:rsidR="00717614" w:rsidRPr="004F036B">
        <w:rPr>
          <w:color w:val="000000" w:themeColor="text1"/>
        </w:rPr>
        <w:t xml:space="preserve">they </w:t>
      </w:r>
      <w:r w:rsidR="00A130A1" w:rsidRPr="004F036B">
        <w:rPr>
          <w:color w:val="000000" w:themeColor="text1"/>
        </w:rPr>
        <w:t>are based on outdated treatment guidelines</w:t>
      </w:r>
      <w:r w:rsidR="00850821">
        <w:rPr>
          <w:color w:val="000000" w:themeColor="text1"/>
        </w:rPr>
        <w:t xml:space="preserve">, thus comparing </w:t>
      </w:r>
      <w:r w:rsidR="00717614" w:rsidRPr="004F036B">
        <w:rPr>
          <w:color w:val="000000" w:themeColor="text1"/>
        </w:rPr>
        <w:t xml:space="preserve">HIV-patients above and below </w:t>
      </w:r>
      <w:r w:rsidR="00A130A1" w:rsidRPr="004F036B">
        <w:rPr>
          <w:color w:val="000000" w:themeColor="text1"/>
        </w:rPr>
        <w:t>a certain</w:t>
      </w:r>
      <w:r w:rsidR="00F46783" w:rsidRPr="004F036B">
        <w:rPr>
          <w:color w:val="000000" w:themeColor="text1"/>
        </w:rPr>
        <w:t xml:space="preserve"> CD4</w:t>
      </w:r>
      <w:r w:rsidR="00906A84" w:rsidRPr="004F036B">
        <w:rPr>
          <w:color w:val="000000" w:themeColor="text1"/>
        </w:rPr>
        <w:t xml:space="preserve"> cell </w:t>
      </w:r>
      <w:r w:rsidR="00F46783" w:rsidRPr="004F036B">
        <w:rPr>
          <w:color w:val="000000" w:themeColor="text1"/>
        </w:rPr>
        <w:t xml:space="preserve">count level (e.g., 500 </w:t>
      </w:r>
      <w:r w:rsidR="00F46783" w:rsidRPr="004F036B">
        <w:rPr>
          <w:lang w:val="en-GB"/>
        </w:rPr>
        <w:t>cells/mm</w:t>
      </w:r>
      <w:r w:rsidR="00F46783" w:rsidRPr="004F036B">
        <w:rPr>
          <w:vertAlign w:val="superscript"/>
          <w:lang w:val="en-GB"/>
        </w:rPr>
        <w:t>3</w:t>
      </w:r>
      <w:r w:rsidR="00F46783" w:rsidRPr="004F036B">
        <w:rPr>
          <w:color w:val="000000" w:themeColor="text1"/>
        </w:rPr>
        <w:t>) that determine</w:t>
      </w:r>
      <w:r w:rsidR="00A130A1" w:rsidRPr="004F036B">
        <w:rPr>
          <w:color w:val="000000" w:themeColor="text1"/>
        </w:rPr>
        <w:t>s</w:t>
      </w:r>
      <w:r w:rsidR="00F46783" w:rsidRPr="004F036B">
        <w:rPr>
          <w:color w:val="000000" w:themeColor="text1"/>
        </w:rPr>
        <w:t xml:space="preserve"> ART eligibility. </w:t>
      </w:r>
      <w:r w:rsidR="00A130A1" w:rsidRPr="004F036B">
        <w:rPr>
          <w:color w:val="000000" w:themeColor="text1"/>
        </w:rPr>
        <w:t xml:space="preserve">Given that </w:t>
      </w:r>
      <w:r w:rsidR="00A66C16">
        <w:rPr>
          <w:color w:val="000000" w:themeColor="text1"/>
        </w:rPr>
        <w:t>HIV-</w:t>
      </w:r>
      <w:r w:rsidR="00A52A14" w:rsidRPr="004F036B">
        <w:rPr>
          <w:color w:val="000000" w:themeColor="text1"/>
        </w:rPr>
        <w:t xml:space="preserve">patients who are </w:t>
      </w:r>
      <w:r w:rsidR="00A66C16">
        <w:rPr>
          <w:color w:val="000000" w:themeColor="text1"/>
        </w:rPr>
        <w:t>not yet on ART</w:t>
      </w:r>
      <w:r w:rsidR="002D3745">
        <w:rPr>
          <w:color w:val="000000" w:themeColor="text1"/>
        </w:rPr>
        <w:t xml:space="preserve"> but have a relatively low CD4 count</w:t>
      </w:r>
      <w:r w:rsidR="00A66C16">
        <w:rPr>
          <w:color w:val="000000" w:themeColor="text1"/>
        </w:rPr>
        <w:t xml:space="preserve"> </w:t>
      </w:r>
      <w:r w:rsidR="00A130A1" w:rsidRPr="004F036B">
        <w:rPr>
          <w:color w:val="000000" w:themeColor="text1"/>
        </w:rPr>
        <w:t>may</w:t>
      </w:r>
      <w:r w:rsidR="00A52A14" w:rsidRPr="004F036B">
        <w:rPr>
          <w:color w:val="000000" w:themeColor="text1"/>
        </w:rPr>
        <w:t xml:space="preserve"> </w:t>
      </w:r>
      <w:r w:rsidR="00A130A1" w:rsidRPr="004F036B">
        <w:rPr>
          <w:color w:val="000000" w:themeColor="text1"/>
        </w:rPr>
        <w:t>be more susceptible to</w:t>
      </w:r>
      <w:r w:rsidR="00A52A14" w:rsidRPr="004F036B">
        <w:rPr>
          <w:color w:val="000000" w:themeColor="text1"/>
        </w:rPr>
        <w:t xml:space="preserve"> </w:t>
      </w:r>
      <w:r w:rsidR="00A130A1" w:rsidRPr="004F036B">
        <w:rPr>
          <w:color w:val="000000" w:themeColor="text1"/>
        </w:rPr>
        <w:t>opportunistic</w:t>
      </w:r>
      <w:r w:rsidR="00A52A14" w:rsidRPr="004F036B">
        <w:rPr>
          <w:color w:val="000000" w:themeColor="text1"/>
        </w:rPr>
        <w:t xml:space="preserve"> infections and adverse events</w:t>
      </w:r>
      <w:r w:rsidR="002D3745">
        <w:rPr>
          <w:color w:val="000000" w:themeColor="text1"/>
        </w:rPr>
        <w:t xml:space="preserve"> than those with higher CD4 counts</w:t>
      </w:r>
      <w:r w:rsidR="00A52A14" w:rsidRPr="004F036B">
        <w:rPr>
          <w:color w:val="000000" w:themeColor="text1"/>
        </w:rPr>
        <w:t>, this comparison grou</w:t>
      </w:r>
      <w:r w:rsidR="00A130A1" w:rsidRPr="004F036B">
        <w:rPr>
          <w:color w:val="000000" w:themeColor="text1"/>
        </w:rPr>
        <w:t xml:space="preserve">p is inadequate </w:t>
      </w:r>
      <w:r w:rsidR="00A52A14" w:rsidRPr="004F036B">
        <w:rPr>
          <w:color w:val="000000" w:themeColor="text1"/>
        </w:rPr>
        <w:t xml:space="preserve">for assessing </w:t>
      </w:r>
      <w:r w:rsidR="00A130A1" w:rsidRPr="004F036B">
        <w:rPr>
          <w:color w:val="000000" w:themeColor="text1"/>
        </w:rPr>
        <w:t xml:space="preserve">the </w:t>
      </w:r>
      <w:r w:rsidR="00A52A14" w:rsidRPr="004F036B">
        <w:rPr>
          <w:color w:val="000000" w:themeColor="text1"/>
        </w:rPr>
        <w:t xml:space="preserve">economic consequences of </w:t>
      </w:r>
      <w:r w:rsidR="00A130A1" w:rsidRPr="004F036B">
        <w:rPr>
          <w:color w:val="000000" w:themeColor="text1"/>
        </w:rPr>
        <w:t xml:space="preserve">the </w:t>
      </w:r>
      <w:r w:rsidR="00A52A14" w:rsidRPr="004F036B">
        <w:rPr>
          <w:color w:val="000000" w:themeColor="text1"/>
        </w:rPr>
        <w:t xml:space="preserve">current WHO-endorsed ART </w:t>
      </w:r>
      <w:r w:rsidR="00A130A1" w:rsidRPr="004F036B">
        <w:rPr>
          <w:color w:val="000000" w:themeColor="text1"/>
        </w:rPr>
        <w:t xml:space="preserve">initiation </w:t>
      </w:r>
      <w:r w:rsidR="008546F0" w:rsidRPr="004F036B">
        <w:rPr>
          <w:color w:val="000000" w:themeColor="text1"/>
        </w:rPr>
        <w:t>strategy</w:t>
      </w:r>
      <w:r w:rsidR="00A52A14" w:rsidRPr="004F036B">
        <w:rPr>
          <w:color w:val="000000" w:themeColor="text1"/>
        </w:rPr>
        <w:t xml:space="preserve"> that</w:t>
      </w:r>
      <w:r w:rsidR="00A130A1" w:rsidRPr="004F036B">
        <w:rPr>
          <w:color w:val="000000" w:themeColor="text1"/>
        </w:rPr>
        <w:t xml:space="preserve"> </w:t>
      </w:r>
      <w:r w:rsidR="008546F0" w:rsidRPr="004F036B">
        <w:rPr>
          <w:color w:val="000000" w:themeColor="text1"/>
        </w:rPr>
        <w:t>is</w:t>
      </w:r>
      <w:r w:rsidR="00A52A14" w:rsidRPr="004F036B">
        <w:rPr>
          <w:color w:val="000000" w:themeColor="text1"/>
        </w:rPr>
        <w:t xml:space="preserve"> independent of patients’ CD4</w:t>
      </w:r>
      <w:r w:rsidR="00A6449A" w:rsidRPr="004F036B">
        <w:rPr>
          <w:color w:val="000000" w:themeColor="text1"/>
        </w:rPr>
        <w:t xml:space="preserve"> </w:t>
      </w:r>
      <w:r w:rsidR="00A52A14" w:rsidRPr="004F036B">
        <w:rPr>
          <w:color w:val="000000" w:themeColor="text1"/>
        </w:rPr>
        <w:t>count</w:t>
      </w:r>
      <w:r w:rsidR="00A130A1" w:rsidRPr="004F036B">
        <w:rPr>
          <w:color w:val="000000" w:themeColor="text1"/>
        </w:rPr>
        <w:t>s</w:t>
      </w:r>
      <w:r w:rsidR="00A52A14" w:rsidRPr="004F036B">
        <w:rPr>
          <w:color w:val="000000" w:themeColor="text1"/>
        </w:rPr>
        <w:t>.</w:t>
      </w:r>
      <w:r w:rsidR="002D3745">
        <w:rPr>
          <w:color w:val="000000" w:themeColor="text1"/>
        </w:rPr>
        <w:t xml:space="preserve"> </w:t>
      </w:r>
    </w:p>
    <w:p w14:paraId="2C6735E7" w14:textId="55EDB292" w:rsidR="00E22BE9" w:rsidRDefault="00C83C22" w:rsidP="00FD7308">
      <w:pPr>
        <w:pStyle w:val="CommentText"/>
        <w:spacing w:line="480" w:lineRule="auto"/>
        <w:jc w:val="both"/>
        <w:rPr>
          <w:color w:val="000000" w:themeColor="text1"/>
          <w:sz w:val="24"/>
          <w:szCs w:val="24"/>
        </w:rPr>
      </w:pPr>
      <w:r w:rsidRPr="004F036B">
        <w:rPr>
          <w:sz w:val="24"/>
          <w:szCs w:val="24"/>
        </w:rPr>
        <w:t xml:space="preserve">To decide whether and how much governments and international </w:t>
      </w:r>
      <w:proofErr w:type="spellStart"/>
      <w:r w:rsidRPr="004F036B">
        <w:rPr>
          <w:sz w:val="24"/>
          <w:szCs w:val="24"/>
        </w:rPr>
        <w:t>organisations</w:t>
      </w:r>
      <w:proofErr w:type="spellEnd"/>
      <w:r w:rsidRPr="004F036B">
        <w:rPr>
          <w:sz w:val="24"/>
          <w:szCs w:val="24"/>
        </w:rPr>
        <w:t xml:space="preserve"> should invest </w:t>
      </w:r>
      <w:bookmarkStart w:id="4" w:name="_Hlk48075880"/>
      <w:r w:rsidRPr="004F036B">
        <w:rPr>
          <w:sz w:val="24"/>
          <w:szCs w:val="24"/>
        </w:rPr>
        <w:t xml:space="preserve">in scaling up </w:t>
      </w:r>
      <w:r w:rsidR="00A130A1" w:rsidRPr="004F036B">
        <w:rPr>
          <w:sz w:val="24"/>
          <w:szCs w:val="24"/>
        </w:rPr>
        <w:t>immediate ART initiation for all HIV-patients</w:t>
      </w:r>
      <w:r w:rsidRPr="004F036B">
        <w:rPr>
          <w:sz w:val="24"/>
          <w:szCs w:val="24"/>
        </w:rPr>
        <w:t xml:space="preserve">, it is crucial to </w:t>
      </w:r>
      <w:r w:rsidR="00272840" w:rsidRPr="004F036B">
        <w:rPr>
          <w:sz w:val="24"/>
          <w:szCs w:val="24"/>
        </w:rPr>
        <w:t xml:space="preserve">understand </w:t>
      </w:r>
      <w:r w:rsidR="00C661BC">
        <w:rPr>
          <w:sz w:val="24"/>
          <w:szCs w:val="24"/>
        </w:rPr>
        <w:t>the</w:t>
      </w:r>
      <w:r w:rsidR="00C661BC" w:rsidRPr="004F036B">
        <w:rPr>
          <w:sz w:val="24"/>
          <w:szCs w:val="24"/>
        </w:rPr>
        <w:t xml:space="preserve"> </w:t>
      </w:r>
      <w:r w:rsidR="00272840" w:rsidRPr="004F036B">
        <w:rPr>
          <w:sz w:val="24"/>
          <w:szCs w:val="24"/>
        </w:rPr>
        <w:t xml:space="preserve">impact </w:t>
      </w:r>
      <w:r w:rsidR="00C661BC">
        <w:rPr>
          <w:sz w:val="24"/>
          <w:szCs w:val="24"/>
        </w:rPr>
        <w:t xml:space="preserve">of immediate ART initiation </w:t>
      </w:r>
      <w:r w:rsidR="00272840" w:rsidRPr="004F036B">
        <w:rPr>
          <w:sz w:val="24"/>
          <w:szCs w:val="24"/>
        </w:rPr>
        <w:t xml:space="preserve">not only on health but also on </w:t>
      </w:r>
      <w:r w:rsidR="002D3745">
        <w:rPr>
          <w:sz w:val="24"/>
          <w:szCs w:val="24"/>
        </w:rPr>
        <w:t xml:space="preserve">HIV </w:t>
      </w:r>
      <w:r w:rsidR="00C661BC">
        <w:rPr>
          <w:sz w:val="24"/>
          <w:szCs w:val="24"/>
        </w:rPr>
        <w:t xml:space="preserve">patients’ </w:t>
      </w:r>
      <w:r w:rsidR="00272840" w:rsidRPr="004F036B">
        <w:rPr>
          <w:sz w:val="24"/>
          <w:szCs w:val="24"/>
        </w:rPr>
        <w:t xml:space="preserve">economic outcomes. </w:t>
      </w:r>
      <w:r w:rsidR="002D3745">
        <w:rPr>
          <w:sz w:val="24"/>
          <w:szCs w:val="24"/>
        </w:rPr>
        <w:t xml:space="preserve">This is the first </w:t>
      </w:r>
      <w:proofErr w:type="spellStart"/>
      <w:r w:rsidR="002D3745">
        <w:rPr>
          <w:sz w:val="24"/>
          <w:szCs w:val="24"/>
        </w:rPr>
        <w:t>randomised</w:t>
      </w:r>
      <w:proofErr w:type="spellEnd"/>
      <w:r w:rsidR="002D3745">
        <w:rPr>
          <w:sz w:val="24"/>
          <w:szCs w:val="24"/>
        </w:rPr>
        <w:t xml:space="preserve"> trial aimed at answering this question. Specifically, </w:t>
      </w:r>
      <w:r w:rsidR="002D3745">
        <w:rPr>
          <w:color w:val="000000" w:themeColor="text1"/>
          <w:sz w:val="24"/>
          <w:szCs w:val="24"/>
        </w:rPr>
        <w:t>w</w:t>
      </w:r>
      <w:r w:rsidR="00703E9C" w:rsidRPr="004F036B">
        <w:rPr>
          <w:color w:val="000000" w:themeColor="text1"/>
          <w:sz w:val="24"/>
          <w:szCs w:val="24"/>
        </w:rPr>
        <w:t>e</w:t>
      </w:r>
      <w:r w:rsidR="00EB33FC" w:rsidRPr="004F036B">
        <w:rPr>
          <w:color w:val="000000" w:themeColor="text1"/>
          <w:sz w:val="24"/>
          <w:szCs w:val="24"/>
        </w:rPr>
        <w:t xml:space="preserve"> conduct</w:t>
      </w:r>
      <w:r w:rsidR="00C10182" w:rsidRPr="004F036B">
        <w:rPr>
          <w:color w:val="000000" w:themeColor="text1"/>
          <w:sz w:val="24"/>
          <w:szCs w:val="24"/>
        </w:rPr>
        <w:t>ed</w:t>
      </w:r>
      <w:r w:rsidR="00EB33FC" w:rsidRPr="004F036B">
        <w:rPr>
          <w:color w:val="000000" w:themeColor="text1"/>
          <w:sz w:val="24"/>
          <w:szCs w:val="24"/>
        </w:rPr>
        <w:t xml:space="preserve"> a stepped-wedge cluster</w:t>
      </w:r>
      <w:r w:rsidR="00C661BC">
        <w:rPr>
          <w:color w:val="000000" w:themeColor="text1"/>
          <w:sz w:val="24"/>
          <w:szCs w:val="24"/>
        </w:rPr>
        <w:t>-</w:t>
      </w:r>
      <w:proofErr w:type="spellStart"/>
      <w:r w:rsidR="00EB33FC" w:rsidRPr="004F036B">
        <w:rPr>
          <w:color w:val="000000" w:themeColor="text1"/>
          <w:sz w:val="24"/>
          <w:szCs w:val="24"/>
        </w:rPr>
        <w:t>randomi</w:t>
      </w:r>
      <w:r w:rsidR="00CA2FED" w:rsidRPr="004F036B">
        <w:rPr>
          <w:color w:val="000000" w:themeColor="text1"/>
          <w:sz w:val="24"/>
          <w:szCs w:val="24"/>
        </w:rPr>
        <w:t>s</w:t>
      </w:r>
      <w:r w:rsidR="00EB33FC" w:rsidRPr="004F036B">
        <w:rPr>
          <w:color w:val="000000" w:themeColor="text1"/>
          <w:sz w:val="24"/>
          <w:szCs w:val="24"/>
        </w:rPr>
        <w:t>ed</w:t>
      </w:r>
      <w:proofErr w:type="spellEnd"/>
      <w:r w:rsidR="00EB33FC" w:rsidRPr="004F036B">
        <w:rPr>
          <w:color w:val="000000" w:themeColor="text1"/>
          <w:sz w:val="24"/>
          <w:szCs w:val="24"/>
        </w:rPr>
        <w:t xml:space="preserve"> controlled trial </w:t>
      </w:r>
      <w:r w:rsidR="00296419" w:rsidRPr="004F036B">
        <w:rPr>
          <w:color w:val="000000" w:themeColor="text1"/>
          <w:sz w:val="24"/>
          <w:szCs w:val="24"/>
        </w:rPr>
        <w:t xml:space="preserve">of the “Early Initiation of ART for All” (EAAA) intervention </w:t>
      </w:r>
      <w:r w:rsidR="00CA2FED" w:rsidRPr="004F036B">
        <w:rPr>
          <w:color w:val="000000" w:themeColor="text1"/>
          <w:sz w:val="24"/>
          <w:szCs w:val="24"/>
        </w:rPr>
        <w:t>for HIV-patients</w:t>
      </w:r>
      <w:r w:rsidR="00C661BC">
        <w:rPr>
          <w:color w:val="000000" w:themeColor="text1"/>
          <w:sz w:val="24"/>
          <w:szCs w:val="24"/>
        </w:rPr>
        <w:t xml:space="preserve"> in</w:t>
      </w:r>
      <w:r w:rsidR="00296419" w:rsidRPr="004F036B">
        <w:rPr>
          <w:color w:val="000000" w:themeColor="text1"/>
          <w:sz w:val="24"/>
          <w:szCs w:val="24"/>
        </w:rPr>
        <w:t xml:space="preserve"> Eswatini</w:t>
      </w:r>
      <w:r w:rsidR="00CE4A29" w:rsidRPr="004F036B">
        <w:rPr>
          <w:color w:val="000000" w:themeColor="text1"/>
          <w:sz w:val="24"/>
          <w:szCs w:val="24"/>
        </w:rPr>
        <w:t xml:space="preserve"> </w:t>
      </w:r>
      <w:r w:rsidR="0053226F" w:rsidRPr="004F036B">
        <w:rPr>
          <w:color w:val="000000" w:themeColor="text1"/>
          <w:sz w:val="24"/>
          <w:szCs w:val="24"/>
        </w:rPr>
        <w:t>to test t</w:t>
      </w:r>
      <w:r w:rsidR="00EB33FC" w:rsidRPr="004F036B">
        <w:rPr>
          <w:color w:val="000000" w:themeColor="text1"/>
          <w:sz w:val="24"/>
          <w:szCs w:val="24"/>
        </w:rPr>
        <w:t>he causal impact of immediate ART initiation on a range of economic outcomes</w:t>
      </w:r>
      <w:r w:rsidR="00207358" w:rsidRPr="004F036B">
        <w:rPr>
          <w:color w:val="000000" w:themeColor="text1"/>
          <w:sz w:val="24"/>
          <w:szCs w:val="24"/>
        </w:rPr>
        <w:t>, including patients’ time use, employment, household expenditures, and household living standards.</w:t>
      </w:r>
      <w:bookmarkEnd w:id="4"/>
    </w:p>
    <w:p w14:paraId="1AE874C4" w14:textId="77777777" w:rsidR="009B6A6A" w:rsidRPr="004F036B" w:rsidRDefault="009B6A6A" w:rsidP="00FD7308">
      <w:pPr>
        <w:pStyle w:val="CommentText"/>
        <w:spacing w:line="480" w:lineRule="auto"/>
        <w:jc w:val="both"/>
        <w:rPr>
          <w:color w:val="000000" w:themeColor="text1"/>
          <w:sz w:val="24"/>
          <w:szCs w:val="24"/>
        </w:rPr>
      </w:pPr>
    </w:p>
    <w:p w14:paraId="44FE9621" w14:textId="70566420" w:rsidR="00F07EB6" w:rsidRDefault="00F07EB6" w:rsidP="00FD7308">
      <w:pPr>
        <w:autoSpaceDE w:val="0"/>
        <w:autoSpaceDN w:val="0"/>
        <w:adjustRightInd w:val="0"/>
        <w:spacing w:line="480" w:lineRule="auto"/>
        <w:outlineLvl w:val="0"/>
        <w:rPr>
          <w:b/>
          <w:color w:val="000000" w:themeColor="text1"/>
          <w:lang w:val="en-GB"/>
        </w:rPr>
      </w:pPr>
      <w:r w:rsidRPr="004F036B">
        <w:rPr>
          <w:b/>
          <w:color w:val="000000" w:themeColor="text1"/>
          <w:lang w:val="en-GB"/>
        </w:rPr>
        <w:t>Results</w:t>
      </w:r>
    </w:p>
    <w:p w14:paraId="07790EB8" w14:textId="77777777" w:rsidR="008E4175" w:rsidRDefault="008E4175" w:rsidP="005F359B">
      <w:pPr>
        <w:rPr>
          <w:b/>
          <w:color w:val="000000" w:themeColor="text1"/>
          <w:lang w:val="en-GB"/>
        </w:rPr>
      </w:pPr>
    </w:p>
    <w:p w14:paraId="3A3D5AC1" w14:textId="679CDA8C" w:rsidR="00516924" w:rsidRPr="004F036B" w:rsidRDefault="00337A78" w:rsidP="00FD7308">
      <w:pPr>
        <w:pStyle w:val="Heading2"/>
        <w:spacing w:before="0" w:line="480" w:lineRule="auto"/>
        <w:rPr>
          <w:rFonts w:ascii="Times New Roman" w:hAnsi="Times New Roman" w:cs="Times New Roman"/>
          <w:b/>
          <w:color w:val="000000" w:themeColor="text1"/>
          <w:sz w:val="24"/>
          <w:szCs w:val="24"/>
          <w:lang w:val="en-GB"/>
        </w:rPr>
      </w:pPr>
      <w:r w:rsidRPr="004F036B">
        <w:rPr>
          <w:rFonts w:ascii="Times New Roman" w:hAnsi="Times New Roman" w:cs="Times New Roman"/>
          <w:b/>
          <w:color w:val="000000" w:themeColor="text1"/>
          <w:sz w:val="24"/>
          <w:szCs w:val="24"/>
          <w:lang w:val="en-GB"/>
        </w:rPr>
        <w:t xml:space="preserve">Sample </w:t>
      </w:r>
      <w:r w:rsidR="00516924" w:rsidRPr="004F036B">
        <w:rPr>
          <w:rFonts w:ascii="Times New Roman" w:hAnsi="Times New Roman" w:cs="Times New Roman"/>
          <w:b/>
          <w:color w:val="000000" w:themeColor="text1"/>
          <w:sz w:val="24"/>
          <w:szCs w:val="24"/>
          <w:lang w:val="en-GB"/>
        </w:rPr>
        <w:t>Characteristics</w:t>
      </w:r>
    </w:p>
    <w:p w14:paraId="4768027F" w14:textId="76065E88" w:rsidR="009538C0" w:rsidRDefault="009538C0" w:rsidP="00FD7308">
      <w:pPr>
        <w:spacing w:after="160" w:line="480" w:lineRule="auto"/>
        <w:jc w:val="both"/>
        <w:rPr>
          <w:lang w:val="en-GB"/>
        </w:rPr>
      </w:pPr>
      <w:r w:rsidRPr="009538C0">
        <w:rPr>
          <w:lang w:val="en-GB"/>
        </w:rPr>
        <w:t>Fourteen healthcare facilities (“clusters”) were</w:t>
      </w:r>
      <w:r>
        <w:rPr>
          <w:lang w:val="en-GB"/>
        </w:rPr>
        <w:t xml:space="preserve"> consecutively</w:t>
      </w:r>
      <w:r w:rsidRPr="009538C0">
        <w:rPr>
          <w:lang w:val="en-GB"/>
        </w:rPr>
        <w:t xml:space="preserve"> enrolled into the </w:t>
      </w:r>
      <w:r w:rsidR="00E869CC" w:rsidRPr="004D10E9">
        <w:rPr>
          <w:color w:val="000000" w:themeColor="text1"/>
          <w:lang w:val="en-GB"/>
        </w:rPr>
        <w:t>Maximi</w:t>
      </w:r>
      <w:r w:rsidR="00E869CC">
        <w:rPr>
          <w:color w:val="000000" w:themeColor="text1"/>
          <w:lang w:val="en-GB"/>
        </w:rPr>
        <w:t>s</w:t>
      </w:r>
      <w:r w:rsidR="00E869CC" w:rsidRPr="004D10E9">
        <w:rPr>
          <w:color w:val="000000" w:themeColor="text1"/>
          <w:lang w:val="en-GB"/>
        </w:rPr>
        <w:t xml:space="preserve">ing ART for Better Health and Zero New HIV Infections </w:t>
      </w:r>
      <w:r w:rsidR="00E869CC">
        <w:rPr>
          <w:color w:val="000000" w:themeColor="text1"/>
          <w:lang w:val="en-GB"/>
        </w:rPr>
        <w:t>(</w:t>
      </w:r>
      <w:proofErr w:type="spellStart"/>
      <w:r w:rsidR="00E869CC" w:rsidRPr="00142EB2">
        <w:rPr>
          <w:color w:val="000000" w:themeColor="text1"/>
          <w:lang w:val="en-GB"/>
        </w:rPr>
        <w:t>Max</w:t>
      </w:r>
      <w:r w:rsidR="00E869CC">
        <w:rPr>
          <w:color w:val="000000" w:themeColor="text1"/>
          <w:lang w:val="en-GB"/>
        </w:rPr>
        <w:t>ART</w:t>
      </w:r>
      <w:proofErr w:type="spellEnd"/>
      <w:r w:rsidR="00E869CC">
        <w:rPr>
          <w:color w:val="000000" w:themeColor="text1"/>
          <w:lang w:val="en-GB"/>
        </w:rPr>
        <w:t xml:space="preserve">) </w:t>
      </w:r>
      <w:r w:rsidR="00F31CF8">
        <w:rPr>
          <w:color w:val="000000" w:themeColor="text1"/>
          <w:lang w:val="en-GB"/>
        </w:rPr>
        <w:t xml:space="preserve">stepped-wedge </w:t>
      </w:r>
      <w:r w:rsidRPr="009538C0">
        <w:rPr>
          <w:lang w:val="en-GB"/>
        </w:rPr>
        <w:t xml:space="preserve">trial and </w:t>
      </w:r>
      <w:r>
        <w:rPr>
          <w:lang w:val="en-GB"/>
        </w:rPr>
        <w:t>3,019</w:t>
      </w:r>
      <w:r w:rsidRPr="009538C0">
        <w:rPr>
          <w:lang w:val="en-GB"/>
        </w:rPr>
        <w:t xml:space="preserve"> participants were interviewed over the duration of the study. The mean number of participants approached at each facility and time step varied from 3</w:t>
      </w:r>
      <w:r>
        <w:rPr>
          <w:lang w:val="en-GB"/>
        </w:rPr>
        <w:t xml:space="preserve">.5 to 112 </w:t>
      </w:r>
      <w:r w:rsidRPr="009538C0">
        <w:rPr>
          <w:lang w:val="en-GB"/>
        </w:rPr>
        <w:t>participants (</w:t>
      </w:r>
      <w:r w:rsidR="00F72896">
        <w:rPr>
          <w:lang w:val="en-GB"/>
        </w:rPr>
        <w:t xml:space="preserve">see </w:t>
      </w:r>
      <w:r w:rsidR="00F93689">
        <w:rPr>
          <w:lang w:val="en-GB"/>
        </w:rPr>
        <w:t>Figure 2</w:t>
      </w:r>
      <w:r w:rsidRPr="009538C0">
        <w:rPr>
          <w:lang w:val="en-GB"/>
        </w:rPr>
        <w:t>).</w:t>
      </w:r>
    </w:p>
    <w:p w14:paraId="2BF0A7F0" w14:textId="5BEDA5C6" w:rsidR="008E4175" w:rsidRDefault="008E4175" w:rsidP="008E4175">
      <w:pPr>
        <w:spacing w:line="480" w:lineRule="auto"/>
        <w:jc w:val="both"/>
        <w:rPr>
          <w:lang w:val="en-GB"/>
        </w:rPr>
      </w:pPr>
      <w:r>
        <w:rPr>
          <w:lang w:val="en-GB"/>
        </w:rPr>
        <w:t>Table 2</w:t>
      </w:r>
      <w:r w:rsidRPr="004F036B">
        <w:rPr>
          <w:lang w:val="en-GB"/>
        </w:rPr>
        <w:t xml:space="preserve"> summarises sociodemographic information </w:t>
      </w:r>
      <w:r>
        <w:rPr>
          <w:lang w:val="en-GB"/>
        </w:rPr>
        <w:t xml:space="preserve">separately </w:t>
      </w:r>
      <w:r w:rsidRPr="004F036B">
        <w:rPr>
          <w:lang w:val="en-GB"/>
        </w:rPr>
        <w:t xml:space="preserve">for two study samples. </w:t>
      </w:r>
      <w:r>
        <w:rPr>
          <w:lang w:val="en-GB"/>
        </w:rPr>
        <w:t>T</w:t>
      </w:r>
      <w:r w:rsidRPr="004F036B">
        <w:rPr>
          <w:lang w:val="en-GB"/>
        </w:rPr>
        <w:t>he full sample was composed of 3019 participants, sampled across 14 healthcare facilities. Participants enrolled into the EAAA intervention arm were on average aged 38.3 years</w:t>
      </w:r>
      <w:r>
        <w:rPr>
          <w:lang w:val="en-GB"/>
        </w:rPr>
        <w:t xml:space="preserve"> (range: 18-85 years)</w:t>
      </w:r>
      <w:r w:rsidRPr="004F036B">
        <w:rPr>
          <w:lang w:val="en-GB"/>
        </w:rPr>
        <w:t>, 71.0% were female, 53.5% were married</w:t>
      </w:r>
      <w:r>
        <w:rPr>
          <w:lang w:val="en-GB"/>
        </w:rPr>
        <w:t>,</w:t>
      </w:r>
      <w:r w:rsidRPr="004F036B">
        <w:rPr>
          <w:lang w:val="en-GB"/>
        </w:rPr>
        <w:t xml:space="preserve"> and 5</w:t>
      </w:r>
      <w:r>
        <w:rPr>
          <w:lang w:val="en-GB"/>
        </w:rPr>
        <w:t>6</w:t>
      </w:r>
      <w:r w:rsidRPr="004F036B">
        <w:rPr>
          <w:lang w:val="en-GB"/>
        </w:rPr>
        <w:t>.</w:t>
      </w:r>
      <w:r>
        <w:rPr>
          <w:lang w:val="en-GB"/>
        </w:rPr>
        <w:t>0</w:t>
      </w:r>
      <w:r w:rsidRPr="004F036B">
        <w:rPr>
          <w:lang w:val="en-GB"/>
        </w:rPr>
        <w:t>% had completed at least some secondary schooling. Participants in the standard of care group had similar characteristics</w:t>
      </w:r>
      <w:r>
        <w:rPr>
          <w:lang w:val="en-GB"/>
        </w:rPr>
        <w:t>:</w:t>
      </w:r>
      <w:r w:rsidRPr="004F036B">
        <w:rPr>
          <w:lang w:val="en-GB"/>
        </w:rPr>
        <w:t xml:space="preserve"> 74.3% were female, 56.6% married, and 56.0% had </w:t>
      </w:r>
      <w:r>
        <w:rPr>
          <w:lang w:val="en-GB"/>
        </w:rPr>
        <w:t>completed at least some</w:t>
      </w:r>
      <w:r w:rsidRPr="004F036B">
        <w:rPr>
          <w:lang w:val="en-GB"/>
        </w:rPr>
        <w:t xml:space="preserve"> secondary </w:t>
      </w:r>
      <w:r>
        <w:rPr>
          <w:lang w:val="en-GB"/>
        </w:rPr>
        <w:t>education</w:t>
      </w:r>
      <w:r w:rsidRPr="004F036B">
        <w:rPr>
          <w:lang w:val="en-GB"/>
        </w:rPr>
        <w:t xml:space="preserve">. </w:t>
      </w:r>
    </w:p>
    <w:p w14:paraId="0ADFCD56" w14:textId="77777777" w:rsidR="007A1805" w:rsidRDefault="007A1805" w:rsidP="00031159">
      <w:pPr>
        <w:spacing w:line="480" w:lineRule="auto"/>
        <w:jc w:val="both"/>
        <w:rPr>
          <w:lang w:val="en-GB"/>
        </w:rPr>
      </w:pPr>
    </w:p>
    <w:p w14:paraId="41226BEC" w14:textId="0A15DAE5" w:rsidR="007A1805" w:rsidRDefault="008E4175" w:rsidP="00031159">
      <w:pPr>
        <w:spacing w:line="480" w:lineRule="auto"/>
        <w:jc w:val="both"/>
        <w:rPr>
          <w:color w:val="000000" w:themeColor="text1"/>
        </w:rPr>
      </w:pPr>
      <w:r>
        <w:rPr>
          <w:lang w:val="en-GB"/>
        </w:rPr>
        <w:t>The random subset of participants with data on</w:t>
      </w:r>
      <w:r w:rsidRPr="004F036B">
        <w:rPr>
          <w:lang w:val="en-GB"/>
        </w:rPr>
        <w:t xml:space="preserve"> household expenditure and living standards was composed of 1485 patients who were also sampled across all 14 healthcare facilities. Overall, sociodemographic characteristics were very similar to those of the full sample.</w:t>
      </w:r>
      <w:r w:rsidRPr="004F036B">
        <w:rPr>
          <w:color w:val="000000" w:themeColor="text1"/>
        </w:rPr>
        <w:t xml:space="preserve"> </w:t>
      </w:r>
    </w:p>
    <w:p w14:paraId="40403809" w14:textId="77777777" w:rsidR="007A1805" w:rsidRDefault="007A1805" w:rsidP="00031159">
      <w:pPr>
        <w:spacing w:line="480" w:lineRule="auto"/>
        <w:jc w:val="both"/>
        <w:rPr>
          <w:noProof/>
        </w:rPr>
      </w:pPr>
    </w:p>
    <w:p w14:paraId="229B4E96" w14:textId="65363C75" w:rsidR="00F93689" w:rsidRPr="00614787" w:rsidRDefault="007A1805" w:rsidP="00031159">
      <w:pPr>
        <w:spacing w:line="480" w:lineRule="auto"/>
        <w:jc w:val="both"/>
        <w:rPr>
          <w:b/>
        </w:rPr>
      </w:pPr>
      <w:r>
        <w:rPr>
          <w:noProof/>
        </w:rPr>
        <w:drawing>
          <wp:anchor distT="0" distB="0" distL="114300" distR="114300" simplePos="0" relativeHeight="251660288" behindDoc="0" locked="0" layoutInCell="1" allowOverlap="1" wp14:anchorId="1E1AC41F" wp14:editId="773D0B62">
            <wp:simplePos x="0" y="0"/>
            <wp:positionH relativeFrom="margin">
              <wp:posOffset>-196504</wp:posOffset>
            </wp:positionH>
            <wp:positionV relativeFrom="paragraph">
              <wp:posOffset>381968</wp:posOffset>
            </wp:positionV>
            <wp:extent cx="6330950" cy="6085456"/>
            <wp:effectExtent l="19050" t="19050" r="12700" b="10795"/>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opy of Stepped Wedge Trial 2 (1).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330950" cy="6085456"/>
                    </a:xfrm>
                    <a:prstGeom prst="rect">
                      <a:avLst/>
                    </a:prstGeom>
                    <a:ln>
                      <a:solidFill>
                        <a:schemeClr val="bg2"/>
                      </a:solidFill>
                    </a:ln>
                  </pic:spPr>
                </pic:pic>
              </a:graphicData>
            </a:graphic>
          </wp:anchor>
        </w:drawing>
      </w:r>
      <w:r w:rsidR="00F93689">
        <w:rPr>
          <w:noProof/>
        </w:rPr>
        <w:t>Figure 2.</w:t>
      </w:r>
      <w:r w:rsidR="00F93689" w:rsidRPr="00614787">
        <w:t xml:space="preserve"> Participant Flow Chart (Full Sample)</w:t>
      </w:r>
    </w:p>
    <w:p w14:paraId="5163A4E1" w14:textId="1BB0B5AC" w:rsidR="005175EC" w:rsidRDefault="00F93689" w:rsidP="00F93689">
      <w:pPr>
        <w:spacing w:line="360" w:lineRule="auto"/>
        <w:jc w:val="center"/>
        <w:rPr>
          <w:lang w:val="en-GB"/>
        </w:rPr>
      </w:pPr>
      <w:r w:rsidRPr="00614787">
        <w:br w:type="page"/>
      </w:r>
    </w:p>
    <w:p w14:paraId="194D5B54" w14:textId="2C5FFB13" w:rsidR="00F93689" w:rsidRPr="00F93689" w:rsidRDefault="00F93689" w:rsidP="00F93689">
      <w:pPr>
        <w:spacing w:after="160" w:line="360" w:lineRule="auto"/>
        <w:jc w:val="center"/>
        <w:rPr>
          <w:color w:val="000000" w:themeColor="text1"/>
        </w:rPr>
      </w:pPr>
      <w:r w:rsidRPr="00F93689">
        <w:rPr>
          <w:color w:val="000000" w:themeColor="text1"/>
        </w:rPr>
        <w:lastRenderedPageBreak/>
        <w:t xml:space="preserve">Table 2. </w:t>
      </w:r>
      <w:r w:rsidRPr="00F93689">
        <w:rPr>
          <w:bCs/>
          <w:color w:val="000000" w:themeColor="text1"/>
        </w:rPr>
        <w:t>Sample characteristics</w:t>
      </w:r>
    </w:p>
    <w:tbl>
      <w:tblPr>
        <w:tblStyle w:val="TableGrid"/>
        <w:tblW w:w="4861" w:type="pct"/>
        <w:tblLook w:val="04A0" w:firstRow="1" w:lastRow="0" w:firstColumn="1" w:lastColumn="0" w:noHBand="0" w:noVBand="1"/>
      </w:tblPr>
      <w:tblGrid>
        <w:gridCol w:w="7794"/>
        <w:gridCol w:w="2934"/>
        <w:gridCol w:w="2842"/>
      </w:tblGrid>
      <w:tr w:rsidR="00F93689" w:rsidRPr="00CA5EDA" w14:paraId="148E09A7" w14:textId="77777777" w:rsidTr="005F359B">
        <w:trPr>
          <w:trHeight w:val="293"/>
        </w:trPr>
        <w:tc>
          <w:tcPr>
            <w:tcW w:w="5000" w:type="pct"/>
            <w:gridSpan w:val="3"/>
            <w:tcBorders>
              <w:left w:val="nil"/>
              <w:bottom w:val="single" w:sz="4" w:space="0" w:color="auto"/>
              <w:right w:val="nil"/>
            </w:tcBorders>
            <w:shd w:val="clear" w:color="auto" w:fill="E7E6E6" w:themeFill="background2"/>
            <w:noWrap/>
          </w:tcPr>
          <w:p w14:paraId="47B5626F" w14:textId="56498A94" w:rsidR="00F93689" w:rsidRPr="00CA5EDA" w:rsidRDefault="00F93689" w:rsidP="005F359B">
            <w:pPr>
              <w:autoSpaceDE w:val="0"/>
              <w:autoSpaceDN w:val="0"/>
              <w:adjustRightInd w:val="0"/>
              <w:spacing w:line="360" w:lineRule="auto"/>
              <w:rPr>
                <w:b/>
                <w:color w:val="000000" w:themeColor="text1"/>
                <w:sz w:val="20"/>
                <w:szCs w:val="20"/>
              </w:rPr>
            </w:pPr>
            <w:r w:rsidRPr="00CA5EDA">
              <w:rPr>
                <w:b/>
                <w:color w:val="000000" w:themeColor="text1"/>
                <w:sz w:val="20"/>
                <w:szCs w:val="20"/>
              </w:rPr>
              <w:t>Full study sample (N=3019)</w:t>
            </w:r>
          </w:p>
        </w:tc>
      </w:tr>
      <w:tr w:rsidR="00F93689" w:rsidRPr="00CA5EDA" w14:paraId="50FDF88D" w14:textId="77777777" w:rsidTr="005F359B">
        <w:trPr>
          <w:trHeight w:val="293"/>
        </w:trPr>
        <w:tc>
          <w:tcPr>
            <w:tcW w:w="2872" w:type="pct"/>
            <w:tcBorders>
              <w:left w:val="nil"/>
              <w:bottom w:val="nil"/>
              <w:right w:val="nil"/>
            </w:tcBorders>
            <w:noWrap/>
          </w:tcPr>
          <w:p w14:paraId="28151087" w14:textId="77777777" w:rsidR="00F93689" w:rsidRPr="00CA5EDA" w:rsidRDefault="00F93689" w:rsidP="005F359B">
            <w:pPr>
              <w:autoSpaceDE w:val="0"/>
              <w:autoSpaceDN w:val="0"/>
              <w:adjustRightInd w:val="0"/>
              <w:spacing w:line="360" w:lineRule="auto"/>
              <w:rPr>
                <w:color w:val="000000" w:themeColor="text1"/>
                <w:sz w:val="20"/>
                <w:szCs w:val="20"/>
              </w:rPr>
            </w:pPr>
          </w:p>
        </w:tc>
        <w:tc>
          <w:tcPr>
            <w:tcW w:w="1081" w:type="pct"/>
            <w:tcBorders>
              <w:left w:val="nil"/>
              <w:right w:val="nil"/>
            </w:tcBorders>
            <w:noWrap/>
          </w:tcPr>
          <w:p w14:paraId="4B27E21C" w14:textId="77777777" w:rsidR="00F93689" w:rsidRPr="00CA5EDA" w:rsidRDefault="00F93689" w:rsidP="005F359B">
            <w:pPr>
              <w:autoSpaceDE w:val="0"/>
              <w:autoSpaceDN w:val="0"/>
              <w:adjustRightInd w:val="0"/>
              <w:spacing w:line="360" w:lineRule="auto"/>
              <w:jc w:val="center"/>
              <w:rPr>
                <w:b/>
                <w:color w:val="000000" w:themeColor="text1"/>
                <w:sz w:val="20"/>
                <w:szCs w:val="20"/>
              </w:rPr>
            </w:pPr>
            <w:r w:rsidRPr="00CA5EDA">
              <w:rPr>
                <w:b/>
                <w:color w:val="000000" w:themeColor="text1"/>
                <w:sz w:val="20"/>
                <w:szCs w:val="20"/>
              </w:rPr>
              <w:t>EAAA</w:t>
            </w:r>
          </w:p>
          <w:p w14:paraId="541A288F" w14:textId="77777777" w:rsidR="00F93689" w:rsidRPr="00CA5EDA" w:rsidRDefault="00F93689" w:rsidP="005F359B">
            <w:pPr>
              <w:autoSpaceDE w:val="0"/>
              <w:autoSpaceDN w:val="0"/>
              <w:adjustRightInd w:val="0"/>
              <w:spacing w:line="360" w:lineRule="auto"/>
              <w:jc w:val="center"/>
              <w:rPr>
                <w:b/>
                <w:color w:val="000000" w:themeColor="text1"/>
                <w:sz w:val="20"/>
                <w:szCs w:val="20"/>
              </w:rPr>
            </w:pPr>
            <w:r w:rsidRPr="00CA5EDA">
              <w:rPr>
                <w:b/>
                <w:color w:val="000000" w:themeColor="text1"/>
                <w:sz w:val="20"/>
                <w:szCs w:val="20"/>
              </w:rPr>
              <w:t>(N=1868)</w:t>
            </w:r>
          </w:p>
        </w:tc>
        <w:tc>
          <w:tcPr>
            <w:tcW w:w="1047" w:type="pct"/>
            <w:tcBorders>
              <w:left w:val="nil"/>
              <w:right w:val="nil"/>
            </w:tcBorders>
          </w:tcPr>
          <w:p w14:paraId="0A92CE5E" w14:textId="77777777" w:rsidR="00F93689" w:rsidRPr="00CA5EDA" w:rsidRDefault="00F93689" w:rsidP="005F359B">
            <w:pPr>
              <w:autoSpaceDE w:val="0"/>
              <w:autoSpaceDN w:val="0"/>
              <w:adjustRightInd w:val="0"/>
              <w:spacing w:line="360" w:lineRule="auto"/>
              <w:jc w:val="center"/>
              <w:rPr>
                <w:b/>
                <w:color w:val="000000" w:themeColor="text1"/>
                <w:sz w:val="20"/>
                <w:szCs w:val="20"/>
              </w:rPr>
            </w:pPr>
            <w:r w:rsidRPr="00CA5EDA">
              <w:rPr>
                <w:b/>
                <w:color w:val="000000" w:themeColor="text1"/>
                <w:sz w:val="20"/>
                <w:szCs w:val="20"/>
              </w:rPr>
              <w:t>SoC</w:t>
            </w:r>
          </w:p>
          <w:p w14:paraId="3D03AC83" w14:textId="77777777" w:rsidR="00F93689" w:rsidRPr="00CA5EDA" w:rsidRDefault="00F93689" w:rsidP="005F359B">
            <w:pPr>
              <w:autoSpaceDE w:val="0"/>
              <w:autoSpaceDN w:val="0"/>
              <w:adjustRightInd w:val="0"/>
              <w:spacing w:line="360" w:lineRule="auto"/>
              <w:jc w:val="center"/>
              <w:rPr>
                <w:b/>
                <w:color w:val="000000" w:themeColor="text1"/>
                <w:sz w:val="20"/>
                <w:szCs w:val="20"/>
              </w:rPr>
            </w:pPr>
            <w:r w:rsidRPr="00CA5EDA">
              <w:rPr>
                <w:b/>
                <w:color w:val="000000" w:themeColor="text1"/>
                <w:sz w:val="20"/>
                <w:szCs w:val="20"/>
              </w:rPr>
              <w:t>(N=1151)</w:t>
            </w:r>
          </w:p>
        </w:tc>
      </w:tr>
      <w:tr w:rsidR="00F93689" w:rsidRPr="00CA5EDA" w14:paraId="4665300A" w14:textId="77777777" w:rsidTr="005F359B">
        <w:trPr>
          <w:trHeight w:val="44"/>
        </w:trPr>
        <w:tc>
          <w:tcPr>
            <w:tcW w:w="2872" w:type="pct"/>
            <w:tcBorders>
              <w:left w:val="nil"/>
              <w:bottom w:val="nil"/>
              <w:right w:val="nil"/>
            </w:tcBorders>
            <w:noWrap/>
            <w:hideMark/>
          </w:tcPr>
          <w:p w14:paraId="3A3526B2" w14:textId="77777777" w:rsidR="00F93689" w:rsidRPr="00CA5EDA" w:rsidRDefault="00F93689" w:rsidP="005F359B">
            <w:pPr>
              <w:autoSpaceDE w:val="0"/>
              <w:autoSpaceDN w:val="0"/>
              <w:adjustRightInd w:val="0"/>
              <w:spacing w:line="360" w:lineRule="auto"/>
              <w:rPr>
                <w:color w:val="000000" w:themeColor="text1"/>
                <w:sz w:val="20"/>
                <w:szCs w:val="20"/>
              </w:rPr>
            </w:pPr>
            <w:r w:rsidRPr="00CA5EDA">
              <w:rPr>
                <w:color w:val="000000" w:themeColor="text1"/>
                <w:sz w:val="20"/>
                <w:szCs w:val="20"/>
              </w:rPr>
              <w:t>Female, n (%)</w:t>
            </w:r>
          </w:p>
        </w:tc>
        <w:tc>
          <w:tcPr>
            <w:tcW w:w="1081" w:type="pct"/>
            <w:tcBorders>
              <w:left w:val="nil"/>
              <w:bottom w:val="nil"/>
              <w:right w:val="nil"/>
            </w:tcBorders>
            <w:noWrap/>
          </w:tcPr>
          <w:p w14:paraId="241A3C9A" w14:textId="45F25670" w:rsidR="00F93689" w:rsidRPr="00CA5EDA" w:rsidRDefault="00F93689" w:rsidP="005F359B">
            <w:pPr>
              <w:autoSpaceDE w:val="0"/>
              <w:autoSpaceDN w:val="0"/>
              <w:adjustRightInd w:val="0"/>
              <w:spacing w:line="360" w:lineRule="auto"/>
              <w:jc w:val="center"/>
              <w:rPr>
                <w:color w:val="000000" w:themeColor="text1"/>
                <w:sz w:val="20"/>
                <w:szCs w:val="20"/>
              </w:rPr>
            </w:pPr>
            <w:r w:rsidRPr="00CA5EDA">
              <w:rPr>
                <w:color w:val="000000" w:themeColor="text1"/>
                <w:sz w:val="20"/>
                <w:szCs w:val="20"/>
              </w:rPr>
              <w:t>1326 (71.0%)</w:t>
            </w:r>
          </w:p>
        </w:tc>
        <w:tc>
          <w:tcPr>
            <w:tcW w:w="1047" w:type="pct"/>
            <w:tcBorders>
              <w:left w:val="nil"/>
              <w:bottom w:val="nil"/>
              <w:right w:val="nil"/>
            </w:tcBorders>
            <w:noWrap/>
          </w:tcPr>
          <w:p w14:paraId="1D93B3CB" w14:textId="77777777" w:rsidR="00F93689" w:rsidRPr="00CA5EDA" w:rsidRDefault="00F93689" w:rsidP="005F359B">
            <w:pPr>
              <w:autoSpaceDE w:val="0"/>
              <w:autoSpaceDN w:val="0"/>
              <w:adjustRightInd w:val="0"/>
              <w:spacing w:line="360" w:lineRule="auto"/>
              <w:jc w:val="center"/>
              <w:rPr>
                <w:color w:val="000000" w:themeColor="text1"/>
                <w:sz w:val="20"/>
                <w:szCs w:val="20"/>
              </w:rPr>
            </w:pPr>
            <w:r w:rsidRPr="00CA5EDA">
              <w:rPr>
                <w:color w:val="000000" w:themeColor="text1"/>
                <w:sz w:val="20"/>
                <w:szCs w:val="20"/>
              </w:rPr>
              <w:t>855 (74.3%)</w:t>
            </w:r>
          </w:p>
        </w:tc>
      </w:tr>
      <w:tr w:rsidR="00F93689" w:rsidRPr="00CA5EDA" w14:paraId="6B37A792" w14:textId="77777777" w:rsidTr="005F359B">
        <w:trPr>
          <w:trHeight w:val="293"/>
        </w:trPr>
        <w:tc>
          <w:tcPr>
            <w:tcW w:w="2872" w:type="pct"/>
            <w:tcBorders>
              <w:left w:val="nil"/>
              <w:bottom w:val="single" w:sz="4" w:space="0" w:color="auto"/>
              <w:right w:val="nil"/>
            </w:tcBorders>
            <w:noWrap/>
            <w:hideMark/>
          </w:tcPr>
          <w:p w14:paraId="32F0B970" w14:textId="77777777" w:rsidR="00F93689" w:rsidRPr="00CA5EDA" w:rsidRDefault="00F93689" w:rsidP="005F359B">
            <w:pPr>
              <w:autoSpaceDE w:val="0"/>
              <w:autoSpaceDN w:val="0"/>
              <w:adjustRightInd w:val="0"/>
              <w:spacing w:line="360" w:lineRule="auto"/>
              <w:rPr>
                <w:color w:val="000000" w:themeColor="text1"/>
                <w:sz w:val="20"/>
                <w:szCs w:val="20"/>
              </w:rPr>
            </w:pPr>
            <w:r w:rsidRPr="00CA5EDA">
              <w:rPr>
                <w:color w:val="000000" w:themeColor="text1"/>
                <w:sz w:val="20"/>
                <w:szCs w:val="20"/>
              </w:rPr>
              <w:t>Age, mean (SD)</w:t>
            </w:r>
          </w:p>
        </w:tc>
        <w:tc>
          <w:tcPr>
            <w:tcW w:w="1081" w:type="pct"/>
            <w:tcBorders>
              <w:left w:val="nil"/>
              <w:bottom w:val="single" w:sz="4" w:space="0" w:color="auto"/>
              <w:right w:val="nil"/>
            </w:tcBorders>
            <w:noWrap/>
          </w:tcPr>
          <w:p w14:paraId="5806D44E" w14:textId="77777777" w:rsidR="00F93689" w:rsidRPr="00CA5EDA" w:rsidRDefault="00F93689" w:rsidP="005F359B">
            <w:pPr>
              <w:autoSpaceDE w:val="0"/>
              <w:autoSpaceDN w:val="0"/>
              <w:adjustRightInd w:val="0"/>
              <w:spacing w:line="360" w:lineRule="auto"/>
              <w:jc w:val="center"/>
              <w:rPr>
                <w:color w:val="000000" w:themeColor="text1"/>
                <w:sz w:val="20"/>
                <w:szCs w:val="20"/>
              </w:rPr>
            </w:pPr>
            <w:r w:rsidRPr="00CA5EDA">
              <w:rPr>
                <w:color w:val="000000" w:themeColor="text1"/>
                <w:sz w:val="20"/>
                <w:szCs w:val="20"/>
              </w:rPr>
              <w:t>38.3 (11.8)</w:t>
            </w:r>
          </w:p>
        </w:tc>
        <w:tc>
          <w:tcPr>
            <w:tcW w:w="1047" w:type="pct"/>
            <w:tcBorders>
              <w:left w:val="nil"/>
              <w:bottom w:val="single" w:sz="4" w:space="0" w:color="auto"/>
              <w:right w:val="nil"/>
            </w:tcBorders>
            <w:noWrap/>
          </w:tcPr>
          <w:p w14:paraId="190B8D47" w14:textId="77777777" w:rsidR="00F93689" w:rsidRPr="00CA5EDA" w:rsidRDefault="00F93689" w:rsidP="005F359B">
            <w:pPr>
              <w:autoSpaceDE w:val="0"/>
              <w:autoSpaceDN w:val="0"/>
              <w:adjustRightInd w:val="0"/>
              <w:spacing w:line="360" w:lineRule="auto"/>
              <w:jc w:val="center"/>
              <w:rPr>
                <w:color w:val="000000" w:themeColor="text1"/>
                <w:sz w:val="20"/>
                <w:szCs w:val="20"/>
              </w:rPr>
            </w:pPr>
            <w:r w:rsidRPr="00CA5EDA">
              <w:rPr>
                <w:color w:val="000000" w:themeColor="text1"/>
                <w:sz w:val="20"/>
                <w:szCs w:val="20"/>
              </w:rPr>
              <w:t>38.3 (11.8)</w:t>
            </w:r>
          </w:p>
        </w:tc>
      </w:tr>
      <w:tr w:rsidR="00F93689" w:rsidRPr="00CA5EDA" w14:paraId="2288E7AE" w14:textId="77777777" w:rsidTr="005F359B">
        <w:trPr>
          <w:trHeight w:val="293"/>
        </w:trPr>
        <w:tc>
          <w:tcPr>
            <w:tcW w:w="2872" w:type="pct"/>
            <w:tcBorders>
              <w:top w:val="single" w:sz="4" w:space="0" w:color="auto"/>
              <w:left w:val="nil"/>
              <w:bottom w:val="nil"/>
              <w:right w:val="nil"/>
            </w:tcBorders>
            <w:noWrap/>
          </w:tcPr>
          <w:p w14:paraId="51247084" w14:textId="77777777" w:rsidR="00F93689" w:rsidRPr="00CA5EDA" w:rsidRDefault="00F93689" w:rsidP="005F359B">
            <w:pPr>
              <w:autoSpaceDE w:val="0"/>
              <w:autoSpaceDN w:val="0"/>
              <w:adjustRightInd w:val="0"/>
              <w:spacing w:line="360" w:lineRule="auto"/>
              <w:rPr>
                <w:color w:val="000000" w:themeColor="text1"/>
                <w:sz w:val="20"/>
                <w:szCs w:val="20"/>
              </w:rPr>
            </w:pPr>
            <w:r w:rsidRPr="00CA5EDA">
              <w:rPr>
                <w:color w:val="000000" w:themeColor="text1"/>
                <w:sz w:val="20"/>
                <w:szCs w:val="20"/>
              </w:rPr>
              <w:t>Education, n (%)</w:t>
            </w:r>
          </w:p>
        </w:tc>
        <w:tc>
          <w:tcPr>
            <w:tcW w:w="1081" w:type="pct"/>
            <w:tcBorders>
              <w:top w:val="single" w:sz="4" w:space="0" w:color="auto"/>
              <w:left w:val="nil"/>
              <w:bottom w:val="nil"/>
              <w:right w:val="nil"/>
            </w:tcBorders>
            <w:noWrap/>
          </w:tcPr>
          <w:p w14:paraId="7DFD681E" w14:textId="4F206733" w:rsidR="00F93689" w:rsidRPr="00CA5EDA" w:rsidRDefault="00F93689" w:rsidP="005F359B">
            <w:pPr>
              <w:autoSpaceDE w:val="0"/>
              <w:autoSpaceDN w:val="0"/>
              <w:adjustRightInd w:val="0"/>
              <w:spacing w:line="360" w:lineRule="auto"/>
              <w:jc w:val="center"/>
              <w:rPr>
                <w:color w:val="000000" w:themeColor="text1"/>
                <w:sz w:val="20"/>
                <w:szCs w:val="20"/>
              </w:rPr>
            </w:pPr>
          </w:p>
        </w:tc>
        <w:tc>
          <w:tcPr>
            <w:tcW w:w="1047" w:type="pct"/>
            <w:tcBorders>
              <w:top w:val="single" w:sz="4" w:space="0" w:color="auto"/>
              <w:left w:val="nil"/>
              <w:bottom w:val="nil"/>
              <w:right w:val="nil"/>
            </w:tcBorders>
            <w:noWrap/>
          </w:tcPr>
          <w:p w14:paraId="7D9043E0" w14:textId="77777777" w:rsidR="00F93689" w:rsidRPr="00CA5EDA" w:rsidRDefault="00F93689" w:rsidP="005F359B">
            <w:pPr>
              <w:autoSpaceDE w:val="0"/>
              <w:autoSpaceDN w:val="0"/>
              <w:adjustRightInd w:val="0"/>
              <w:spacing w:line="360" w:lineRule="auto"/>
              <w:jc w:val="center"/>
              <w:rPr>
                <w:color w:val="000000" w:themeColor="text1"/>
                <w:sz w:val="20"/>
                <w:szCs w:val="20"/>
              </w:rPr>
            </w:pPr>
          </w:p>
        </w:tc>
      </w:tr>
      <w:tr w:rsidR="00F93689" w:rsidRPr="00CA5EDA" w14:paraId="57F5B30A" w14:textId="77777777" w:rsidTr="005F359B">
        <w:trPr>
          <w:trHeight w:val="293"/>
        </w:trPr>
        <w:tc>
          <w:tcPr>
            <w:tcW w:w="2872" w:type="pct"/>
            <w:tcBorders>
              <w:top w:val="nil"/>
              <w:left w:val="nil"/>
              <w:bottom w:val="nil"/>
              <w:right w:val="nil"/>
            </w:tcBorders>
            <w:noWrap/>
            <w:hideMark/>
          </w:tcPr>
          <w:p w14:paraId="792CC910" w14:textId="77777777" w:rsidR="00F93689" w:rsidRPr="00CA5EDA" w:rsidRDefault="00F93689" w:rsidP="005F359B">
            <w:pPr>
              <w:autoSpaceDE w:val="0"/>
              <w:autoSpaceDN w:val="0"/>
              <w:adjustRightInd w:val="0"/>
              <w:spacing w:line="360" w:lineRule="auto"/>
              <w:ind w:left="144"/>
              <w:rPr>
                <w:color w:val="000000" w:themeColor="text1"/>
                <w:sz w:val="20"/>
                <w:szCs w:val="20"/>
              </w:rPr>
            </w:pPr>
            <w:r w:rsidRPr="00CA5EDA">
              <w:rPr>
                <w:color w:val="000000" w:themeColor="text1"/>
                <w:sz w:val="20"/>
                <w:szCs w:val="20"/>
              </w:rPr>
              <w:t>No formal schooling</w:t>
            </w:r>
          </w:p>
        </w:tc>
        <w:tc>
          <w:tcPr>
            <w:tcW w:w="1081" w:type="pct"/>
            <w:tcBorders>
              <w:top w:val="nil"/>
              <w:left w:val="nil"/>
              <w:bottom w:val="nil"/>
              <w:right w:val="nil"/>
            </w:tcBorders>
            <w:noWrap/>
          </w:tcPr>
          <w:p w14:paraId="462A5642" w14:textId="77777777" w:rsidR="00F93689" w:rsidRPr="00CA5EDA" w:rsidRDefault="00F93689" w:rsidP="005F359B">
            <w:pPr>
              <w:autoSpaceDE w:val="0"/>
              <w:autoSpaceDN w:val="0"/>
              <w:adjustRightInd w:val="0"/>
              <w:spacing w:line="360" w:lineRule="auto"/>
              <w:jc w:val="center"/>
              <w:rPr>
                <w:color w:val="000000" w:themeColor="text1"/>
                <w:sz w:val="20"/>
                <w:szCs w:val="20"/>
              </w:rPr>
            </w:pPr>
            <w:r w:rsidRPr="00CA5EDA">
              <w:rPr>
                <w:color w:val="000000" w:themeColor="text1"/>
                <w:sz w:val="20"/>
                <w:szCs w:val="20"/>
              </w:rPr>
              <w:t>356 (19.1%)</w:t>
            </w:r>
          </w:p>
        </w:tc>
        <w:tc>
          <w:tcPr>
            <w:tcW w:w="1047" w:type="pct"/>
            <w:tcBorders>
              <w:top w:val="nil"/>
              <w:left w:val="nil"/>
              <w:bottom w:val="nil"/>
              <w:right w:val="nil"/>
            </w:tcBorders>
            <w:noWrap/>
          </w:tcPr>
          <w:p w14:paraId="613C0E19" w14:textId="77777777" w:rsidR="00F93689" w:rsidRPr="00CA5EDA" w:rsidRDefault="00F93689" w:rsidP="005F359B">
            <w:pPr>
              <w:autoSpaceDE w:val="0"/>
              <w:autoSpaceDN w:val="0"/>
              <w:adjustRightInd w:val="0"/>
              <w:spacing w:line="360" w:lineRule="auto"/>
              <w:jc w:val="center"/>
              <w:rPr>
                <w:color w:val="000000" w:themeColor="text1"/>
                <w:sz w:val="20"/>
                <w:szCs w:val="20"/>
              </w:rPr>
            </w:pPr>
            <w:r w:rsidRPr="00CA5EDA">
              <w:rPr>
                <w:color w:val="000000" w:themeColor="text1"/>
                <w:sz w:val="20"/>
                <w:szCs w:val="20"/>
              </w:rPr>
              <w:t>212 (18.6%)</w:t>
            </w:r>
          </w:p>
        </w:tc>
      </w:tr>
      <w:tr w:rsidR="00F93689" w:rsidRPr="00CA5EDA" w14:paraId="295756AB" w14:textId="77777777" w:rsidTr="005F359B">
        <w:trPr>
          <w:trHeight w:val="293"/>
        </w:trPr>
        <w:tc>
          <w:tcPr>
            <w:tcW w:w="2872" w:type="pct"/>
            <w:tcBorders>
              <w:top w:val="nil"/>
              <w:left w:val="nil"/>
              <w:bottom w:val="nil"/>
              <w:right w:val="nil"/>
            </w:tcBorders>
            <w:noWrap/>
            <w:hideMark/>
          </w:tcPr>
          <w:p w14:paraId="07E27E4C" w14:textId="77777777" w:rsidR="00F93689" w:rsidRPr="00CA5EDA" w:rsidRDefault="00F93689" w:rsidP="005F359B">
            <w:pPr>
              <w:autoSpaceDE w:val="0"/>
              <w:autoSpaceDN w:val="0"/>
              <w:adjustRightInd w:val="0"/>
              <w:spacing w:line="360" w:lineRule="auto"/>
              <w:ind w:left="144"/>
              <w:rPr>
                <w:color w:val="000000" w:themeColor="text1"/>
                <w:sz w:val="20"/>
                <w:szCs w:val="20"/>
              </w:rPr>
            </w:pPr>
            <w:r w:rsidRPr="00CA5EDA">
              <w:rPr>
                <w:color w:val="000000" w:themeColor="text1"/>
                <w:sz w:val="20"/>
                <w:szCs w:val="20"/>
              </w:rPr>
              <w:t>Any primary schooling</w:t>
            </w:r>
          </w:p>
        </w:tc>
        <w:tc>
          <w:tcPr>
            <w:tcW w:w="1081" w:type="pct"/>
            <w:tcBorders>
              <w:top w:val="nil"/>
              <w:left w:val="nil"/>
              <w:bottom w:val="nil"/>
              <w:right w:val="nil"/>
            </w:tcBorders>
            <w:noWrap/>
          </w:tcPr>
          <w:p w14:paraId="1713E029" w14:textId="6825CFC7" w:rsidR="00F93689" w:rsidRPr="00CA5EDA" w:rsidRDefault="00F93689" w:rsidP="005F359B">
            <w:pPr>
              <w:autoSpaceDE w:val="0"/>
              <w:autoSpaceDN w:val="0"/>
              <w:adjustRightInd w:val="0"/>
              <w:spacing w:line="360" w:lineRule="auto"/>
              <w:jc w:val="center"/>
              <w:rPr>
                <w:color w:val="000000" w:themeColor="text1"/>
                <w:sz w:val="20"/>
                <w:szCs w:val="20"/>
              </w:rPr>
            </w:pPr>
            <w:r w:rsidRPr="00CA5EDA">
              <w:rPr>
                <w:color w:val="000000" w:themeColor="text1"/>
                <w:sz w:val="20"/>
                <w:szCs w:val="20"/>
              </w:rPr>
              <w:t xml:space="preserve">400 (21.4%)  </w:t>
            </w:r>
          </w:p>
        </w:tc>
        <w:tc>
          <w:tcPr>
            <w:tcW w:w="1047" w:type="pct"/>
            <w:tcBorders>
              <w:top w:val="nil"/>
              <w:left w:val="nil"/>
              <w:bottom w:val="nil"/>
              <w:right w:val="nil"/>
            </w:tcBorders>
            <w:noWrap/>
          </w:tcPr>
          <w:p w14:paraId="708B415C" w14:textId="77777777" w:rsidR="00F93689" w:rsidRPr="00CA5EDA" w:rsidRDefault="00F93689" w:rsidP="005F359B">
            <w:pPr>
              <w:autoSpaceDE w:val="0"/>
              <w:autoSpaceDN w:val="0"/>
              <w:adjustRightInd w:val="0"/>
              <w:spacing w:line="360" w:lineRule="auto"/>
              <w:jc w:val="center"/>
              <w:rPr>
                <w:color w:val="000000" w:themeColor="text1"/>
                <w:sz w:val="20"/>
                <w:szCs w:val="20"/>
              </w:rPr>
            </w:pPr>
            <w:r w:rsidRPr="00CA5EDA">
              <w:rPr>
                <w:color w:val="000000" w:themeColor="text1"/>
                <w:sz w:val="20"/>
                <w:szCs w:val="20"/>
              </w:rPr>
              <w:t xml:space="preserve">294 (25.5%)  </w:t>
            </w:r>
          </w:p>
        </w:tc>
      </w:tr>
      <w:tr w:rsidR="00F93689" w:rsidRPr="00CA5EDA" w14:paraId="31BEE622" w14:textId="77777777" w:rsidTr="005F359B">
        <w:trPr>
          <w:trHeight w:val="293"/>
        </w:trPr>
        <w:tc>
          <w:tcPr>
            <w:tcW w:w="2872" w:type="pct"/>
            <w:tcBorders>
              <w:top w:val="nil"/>
              <w:left w:val="nil"/>
              <w:bottom w:val="nil"/>
              <w:right w:val="nil"/>
            </w:tcBorders>
            <w:noWrap/>
            <w:hideMark/>
          </w:tcPr>
          <w:p w14:paraId="16A4957F" w14:textId="77777777" w:rsidR="00F93689" w:rsidRPr="00CA5EDA" w:rsidRDefault="00F93689" w:rsidP="005F359B">
            <w:pPr>
              <w:autoSpaceDE w:val="0"/>
              <w:autoSpaceDN w:val="0"/>
              <w:adjustRightInd w:val="0"/>
              <w:spacing w:line="360" w:lineRule="auto"/>
              <w:ind w:left="144"/>
              <w:rPr>
                <w:color w:val="000000" w:themeColor="text1"/>
                <w:sz w:val="20"/>
                <w:szCs w:val="20"/>
              </w:rPr>
            </w:pPr>
            <w:r w:rsidRPr="00CA5EDA">
              <w:rPr>
                <w:color w:val="000000" w:themeColor="text1"/>
                <w:sz w:val="20"/>
                <w:szCs w:val="20"/>
              </w:rPr>
              <w:t>Any secondary schooling</w:t>
            </w:r>
          </w:p>
        </w:tc>
        <w:tc>
          <w:tcPr>
            <w:tcW w:w="1081" w:type="pct"/>
            <w:tcBorders>
              <w:top w:val="nil"/>
              <w:left w:val="nil"/>
              <w:bottom w:val="nil"/>
              <w:right w:val="nil"/>
            </w:tcBorders>
            <w:noWrap/>
          </w:tcPr>
          <w:p w14:paraId="4307E587" w14:textId="1BCB7EEC" w:rsidR="00F93689" w:rsidRPr="00CA5EDA" w:rsidRDefault="00F93689" w:rsidP="005F359B">
            <w:pPr>
              <w:autoSpaceDE w:val="0"/>
              <w:autoSpaceDN w:val="0"/>
              <w:adjustRightInd w:val="0"/>
              <w:spacing w:line="360" w:lineRule="auto"/>
              <w:rPr>
                <w:color w:val="000000" w:themeColor="text1"/>
                <w:sz w:val="20"/>
                <w:szCs w:val="20"/>
              </w:rPr>
            </w:pPr>
            <w:r w:rsidRPr="00CA5EDA">
              <w:rPr>
                <w:color w:val="000000" w:themeColor="text1"/>
                <w:sz w:val="20"/>
                <w:szCs w:val="20"/>
              </w:rPr>
              <w:t xml:space="preserve">     1112 (59.5%) </w:t>
            </w:r>
          </w:p>
        </w:tc>
        <w:tc>
          <w:tcPr>
            <w:tcW w:w="1047" w:type="pct"/>
            <w:tcBorders>
              <w:top w:val="nil"/>
              <w:left w:val="nil"/>
              <w:bottom w:val="nil"/>
              <w:right w:val="nil"/>
            </w:tcBorders>
            <w:noWrap/>
          </w:tcPr>
          <w:p w14:paraId="20FD5552" w14:textId="77777777" w:rsidR="00F93689" w:rsidRPr="00CA5EDA" w:rsidRDefault="00F93689" w:rsidP="005F359B">
            <w:pPr>
              <w:autoSpaceDE w:val="0"/>
              <w:autoSpaceDN w:val="0"/>
              <w:adjustRightInd w:val="0"/>
              <w:spacing w:line="360" w:lineRule="auto"/>
              <w:jc w:val="center"/>
              <w:rPr>
                <w:color w:val="000000" w:themeColor="text1"/>
                <w:sz w:val="20"/>
                <w:szCs w:val="20"/>
              </w:rPr>
            </w:pPr>
            <w:r w:rsidRPr="00CA5EDA">
              <w:rPr>
                <w:color w:val="000000" w:themeColor="text1"/>
                <w:sz w:val="20"/>
                <w:szCs w:val="20"/>
              </w:rPr>
              <w:t>645 (56.0%)</w:t>
            </w:r>
          </w:p>
        </w:tc>
      </w:tr>
      <w:tr w:rsidR="00F93689" w:rsidRPr="00CA5EDA" w14:paraId="0B0D75F6" w14:textId="77777777" w:rsidTr="005F359B">
        <w:trPr>
          <w:trHeight w:val="293"/>
        </w:trPr>
        <w:tc>
          <w:tcPr>
            <w:tcW w:w="2872" w:type="pct"/>
            <w:tcBorders>
              <w:left w:val="nil"/>
              <w:bottom w:val="nil"/>
              <w:right w:val="nil"/>
            </w:tcBorders>
            <w:noWrap/>
          </w:tcPr>
          <w:p w14:paraId="038F7ACD" w14:textId="77777777" w:rsidR="00F93689" w:rsidRPr="00CA5EDA" w:rsidRDefault="00F93689" w:rsidP="005F359B">
            <w:pPr>
              <w:autoSpaceDE w:val="0"/>
              <w:autoSpaceDN w:val="0"/>
              <w:adjustRightInd w:val="0"/>
              <w:spacing w:line="360" w:lineRule="auto"/>
              <w:rPr>
                <w:color w:val="000000" w:themeColor="text1"/>
                <w:sz w:val="20"/>
                <w:szCs w:val="20"/>
              </w:rPr>
            </w:pPr>
            <w:r w:rsidRPr="00CA5EDA">
              <w:rPr>
                <w:color w:val="000000" w:themeColor="text1"/>
                <w:sz w:val="20"/>
                <w:szCs w:val="20"/>
              </w:rPr>
              <w:t>Married, n (%)</w:t>
            </w:r>
          </w:p>
        </w:tc>
        <w:tc>
          <w:tcPr>
            <w:tcW w:w="1081" w:type="pct"/>
            <w:tcBorders>
              <w:left w:val="nil"/>
              <w:bottom w:val="nil"/>
              <w:right w:val="nil"/>
            </w:tcBorders>
            <w:noWrap/>
          </w:tcPr>
          <w:p w14:paraId="3266B2C9" w14:textId="4EFAA8DF" w:rsidR="00F93689" w:rsidRPr="00CA5EDA" w:rsidRDefault="00F93689" w:rsidP="005F359B">
            <w:pPr>
              <w:autoSpaceDE w:val="0"/>
              <w:autoSpaceDN w:val="0"/>
              <w:adjustRightInd w:val="0"/>
              <w:spacing w:line="360" w:lineRule="auto"/>
              <w:jc w:val="center"/>
              <w:rPr>
                <w:color w:val="000000" w:themeColor="text1"/>
                <w:sz w:val="20"/>
                <w:szCs w:val="20"/>
              </w:rPr>
            </w:pPr>
            <w:r w:rsidRPr="00CA5EDA">
              <w:rPr>
                <w:color w:val="000000" w:themeColor="text1"/>
                <w:sz w:val="20"/>
                <w:szCs w:val="20"/>
              </w:rPr>
              <w:t xml:space="preserve">1000 (53.5%)  </w:t>
            </w:r>
          </w:p>
        </w:tc>
        <w:tc>
          <w:tcPr>
            <w:tcW w:w="1047" w:type="pct"/>
            <w:tcBorders>
              <w:left w:val="nil"/>
              <w:bottom w:val="nil"/>
              <w:right w:val="nil"/>
            </w:tcBorders>
            <w:noWrap/>
          </w:tcPr>
          <w:p w14:paraId="28E59838" w14:textId="77777777" w:rsidR="00F93689" w:rsidRPr="00CA5EDA" w:rsidRDefault="00F93689" w:rsidP="005F359B">
            <w:pPr>
              <w:autoSpaceDE w:val="0"/>
              <w:autoSpaceDN w:val="0"/>
              <w:adjustRightInd w:val="0"/>
              <w:spacing w:line="360" w:lineRule="auto"/>
              <w:jc w:val="center"/>
              <w:rPr>
                <w:color w:val="000000" w:themeColor="text1"/>
                <w:sz w:val="20"/>
                <w:szCs w:val="20"/>
              </w:rPr>
            </w:pPr>
            <w:r w:rsidRPr="00CA5EDA">
              <w:rPr>
                <w:color w:val="000000" w:themeColor="text1"/>
                <w:sz w:val="20"/>
                <w:szCs w:val="20"/>
              </w:rPr>
              <w:t>651 (56.6%)</w:t>
            </w:r>
          </w:p>
        </w:tc>
      </w:tr>
      <w:tr w:rsidR="00F93689" w:rsidRPr="00CA5EDA" w14:paraId="40E4CD1B" w14:textId="77777777" w:rsidTr="005F359B">
        <w:trPr>
          <w:trHeight w:val="287"/>
        </w:trPr>
        <w:tc>
          <w:tcPr>
            <w:tcW w:w="5000" w:type="pct"/>
            <w:gridSpan w:val="3"/>
            <w:tcBorders>
              <w:left w:val="nil"/>
              <w:bottom w:val="single" w:sz="4" w:space="0" w:color="auto"/>
              <w:right w:val="single" w:sz="4" w:space="0" w:color="auto"/>
            </w:tcBorders>
            <w:shd w:val="clear" w:color="auto" w:fill="E7E6E6" w:themeFill="background2"/>
            <w:noWrap/>
          </w:tcPr>
          <w:p w14:paraId="1E731B23" w14:textId="41B8EB8F" w:rsidR="00F93689" w:rsidRPr="00CA5EDA" w:rsidRDefault="00F93689" w:rsidP="005F359B">
            <w:pPr>
              <w:autoSpaceDE w:val="0"/>
              <w:autoSpaceDN w:val="0"/>
              <w:adjustRightInd w:val="0"/>
              <w:spacing w:line="360" w:lineRule="auto"/>
              <w:rPr>
                <w:b/>
                <w:color w:val="000000" w:themeColor="text1"/>
                <w:sz w:val="20"/>
                <w:szCs w:val="20"/>
              </w:rPr>
            </w:pPr>
            <w:r>
              <w:rPr>
                <w:b/>
                <w:color w:val="000000" w:themeColor="text1"/>
                <w:sz w:val="20"/>
                <w:szCs w:val="20"/>
              </w:rPr>
              <w:t>Random subsample with data on h</w:t>
            </w:r>
            <w:r w:rsidRPr="00CA5EDA">
              <w:rPr>
                <w:b/>
                <w:color w:val="000000" w:themeColor="text1"/>
                <w:sz w:val="20"/>
                <w:szCs w:val="20"/>
              </w:rPr>
              <w:t xml:space="preserve">ousehold expenditure and living standards (N=1485)                                                                </w:t>
            </w:r>
          </w:p>
        </w:tc>
      </w:tr>
      <w:tr w:rsidR="00F93689" w:rsidRPr="00CA5EDA" w14:paraId="3B7A0E97" w14:textId="77777777" w:rsidTr="005F359B">
        <w:trPr>
          <w:trHeight w:val="293"/>
        </w:trPr>
        <w:tc>
          <w:tcPr>
            <w:tcW w:w="2872" w:type="pct"/>
            <w:tcBorders>
              <w:left w:val="nil"/>
              <w:bottom w:val="nil"/>
              <w:right w:val="nil"/>
            </w:tcBorders>
            <w:noWrap/>
          </w:tcPr>
          <w:p w14:paraId="249D51E9" w14:textId="77777777" w:rsidR="00F93689" w:rsidRPr="00CA5EDA" w:rsidRDefault="00F93689" w:rsidP="005F359B">
            <w:pPr>
              <w:autoSpaceDE w:val="0"/>
              <w:autoSpaceDN w:val="0"/>
              <w:adjustRightInd w:val="0"/>
              <w:spacing w:line="360" w:lineRule="auto"/>
              <w:rPr>
                <w:color w:val="000000" w:themeColor="text1"/>
                <w:sz w:val="20"/>
                <w:szCs w:val="20"/>
              </w:rPr>
            </w:pPr>
          </w:p>
        </w:tc>
        <w:tc>
          <w:tcPr>
            <w:tcW w:w="1081" w:type="pct"/>
            <w:tcBorders>
              <w:left w:val="nil"/>
              <w:right w:val="nil"/>
            </w:tcBorders>
            <w:noWrap/>
          </w:tcPr>
          <w:p w14:paraId="425C2DF6" w14:textId="2DD93958" w:rsidR="00F93689" w:rsidRPr="00CA5EDA" w:rsidRDefault="00F93689" w:rsidP="005F359B">
            <w:pPr>
              <w:autoSpaceDE w:val="0"/>
              <w:autoSpaceDN w:val="0"/>
              <w:adjustRightInd w:val="0"/>
              <w:spacing w:line="360" w:lineRule="auto"/>
              <w:jc w:val="center"/>
              <w:rPr>
                <w:b/>
                <w:color w:val="000000" w:themeColor="text1"/>
                <w:sz w:val="20"/>
                <w:szCs w:val="20"/>
              </w:rPr>
            </w:pPr>
            <w:r w:rsidRPr="00CA5EDA">
              <w:rPr>
                <w:b/>
                <w:color w:val="000000" w:themeColor="text1"/>
                <w:sz w:val="20"/>
                <w:szCs w:val="20"/>
              </w:rPr>
              <w:t>EAAA</w:t>
            </w:r>
          </w:p>
          <w:p w14:paraId="655C19CC" w14:textId="77777777" w:rsidR="00F93689" w:rsidRPr="00CA5EDA" w:rsidRDefault="00F93689" w:rsidP="005F359B">
            <w:pPr>
              <w:autoSpaceDE w:val="0"/>
              <w:autoSpaceDN w:val="0"/>
              <w:adjustRightInd w:val="0"/>
              <w:spacing w:line="360" w:lineRule="auto"/>
              <w:jc w:val="center"/>
              <w:rPr>
                <w:b/>
                <w:color w:val="000000" w:themeColor="text1"/>
                <w:sz w:val="20"/>
                <w:szCs w:val="20"/>
              </w:rPr>
            </w:pPr>
            <w:r w:rsidRPr="00CA5EDA">
              <w:rPr>
                <w:b/>
                <w:color w:val="000000" w:themeColor="text1"/>
                <w:sz w:val="20"/>
                <w:szCs w:val="20"/>
              </w:rPr>
              <w:t>(N=930)</w:t>
            </w:r>
          </w:p>
        </w:tc>
        <w:tc>
          <w:tcPr>
            <w:tcW w:w="1047" w:type="pct"/>
            <w:tcBorders>
              <w:left w:val="nil"/>
              <w:right w:val="nil"/>
            </w:tcBorders>
          </w:tcPr>
          <w:p w14:paraId="19568260" w14:textId="77777777" w:rsidR="00F93689" w:rsidRPr="00CA5EDA" w:rsidRDefault="00F93689" w:rsidP="005F359B">
            <w:pPr>
              <w:autoSpaceDE w:val="0"/>
              <w:autoSpaceDN w:val="0"/>
              <w:adjustRightInd w:val="0"/>
              <w:spacing w:line="360" w:lineRule="auto"/>
              <w:jc w:val="center"/>
              <w:rPr>
                <w:b/>
                <w:color w:val="000000" w:themeColor="text1"/>
                <w:sz w:val="20"/>
                <w:szCs w:val="20"/>
              </w:rPr>
            </w:pPr>
            <w:r w:rsidRPr="00CA5EDA">
              <w:rPr>
                <w:b/>
                <w:color w:val="000000" w:themeColor="text1"/>
                <w:sz w:val="20"/>
                <w:szCs w:val="20"/>
              </w:rPr>
              <w:t>SoC</w:t>
            </w:r>
          </w:p>
          <w:p w14:paraId="26D4597E" w14:textId="77777777" w:rsidR="00F93689" w:rsidRPr="00CA5EDA" w:rsidRDefault="00F93689" w:rsidP="005F359B">
            <w:pPr>
              <w:autoSpaceDE w:val="0"/>
              <w:autoSpaceDN w:val="0"/>
              <w:adjustRightInd w:val="0"/>
              <w:spacing w:line="360" w:lineRule="auto"/>
              <w:jc w:val="center"/>
              <w:rPr>
                <w:b/>
                <w:color w:val="000000" w:themeColor="text1"/>
                <w:sz w:val="20"/>
                <w:szCs w:val="20"/>
              </w:rPr>
            </w:pPr>
            <w:r w:rsidRPr="00CA5EDA">
              <w:rPr>
                <w:b/>
                <w:color w:val="000000" w:themeColor="text1"/>
                <w:sz w:val="20"/>
                <w:szCs w:val="20"/>
              </w:rPr>
              <w:t>(N=555)</w:t>
            </w:r>
          </w:p>
        </w:tc>
      </w:tr>
      <w:tr w:rsidR="00F93689" w:rsidRPr="00CA5EDA" w14:paraId="32D452FD" w14:textId="77777777" w:rsidTr="005F359B">
        <w:trPr>
          <w:trHeight w:val="44"/>
        </w:trPr>
        <w:tc>
          <w:tcPr>
            <w:tcW w:w="2872" w:type="pct"/>
            <w:tcBorders>
              <w:left w:val="nil"/>
              <w:bottom w:val="nil"/>
              <w:right w:val="nil"/>
            </w:tcBorders>
            <w:noWrap/>
            <w:hideMark/>
          </w:tcPr>
          <w:p w14:paraId="548E8C33" w14:textId="77777777" w:rsidR="00F93689" w:rsidRPr="00CA5EDA" w:rsidRDefault="00F93689" w:rsidP="005F359B">
            <w:pPr>
              <w:autoSpaceDE w:val="0"/>
              <w:autoSpaceDN w:val="0"/>
              <w:adjustRightInd w:val="0"/>
              <w:spacing w:line="360" w:lineRule="auto"/>
              <w:rPr>
                <w:color w:val="000000" w:themeColor="text1"/>
                <w:sz w:val="20"/>
                <w:szCs w:val="20"/>
              </w:rPr>
            </w:pPr>
            <w:r w:rsidRPr="00CA5EDA">
              <w:rPr>
                <w:color w:val="000000" w:themeColor="text1"/>
                <w:sz w:val="20"/>
                <w:szCs w:val="20"/>
              </w:rPr>
              <w:t>Female, n (%)</w:t>
            </w:r>
          </w:p>
        </w:tc>
        <w:tc>
          <w:tcPr>
            <w:tcW w:w="1081" w:type="pct"/>
            <w:tcBorders>
              <w:left w:val="nil"/>
              <w:bottom w:val="nil"/>
              <w:right w:val="nil"/>
            </w:tcBorders>
            <w:noWrap/>
          </w:tcPr>
          <w:p w14:paraId="7BA55618" w14:textId="315471DE" w:rsidR="00F93689" w:rsidRPr="00CA5EDA" w:rsidRDefault="00F93689" w:rsidP="005F359B">
            <w:pPr>
              <w:autoSpaceDE w:val="0"/>
              <w:autoSpaceDN w:val="0"/>
              <w:adjustRightInd w:val="0"/>
              <w:spacing w:line="360" w:lineRule="auto"/>
              <w:jc w:val="center"/>
              <w:rPr>
                <w:color w:val="000000" w:themeColor="text1"/>
                <w:sz w:val="20"/>
                <w:szCs w:val="20"/>
              </w:rPr>
            </w:pPr>
            <w:r w:rsidRPr="00CA5EDA">
              <w:rPr>
                <w:color w:val="000000" w:themeColor="text1"/>
                <w:sz w:val="20"/>
                <w:szCs w:val="20"/>
              </w:rPr>
              <w:t>665 (71.5%)</w:t>
            </w:r>
          </w:p>
        </w:tc>
        <w:tc>
          <w:tcPr>
            <w:tcW w:w="1047" w:type="pct"/>
            <w:tcBorders>
              <w:left w:val="nil"/>
              <w:bottom w:val="nil"/>
              <w:right w:val="nil"/>
            </w:tcBorders>
            <w:noWrap/>
          </w:tcPr>
          <w:p w14:paraId="10E4C132" w14:textId="77777777" w:rsidR="00F93689" w:rsidRPr="00CA5EDA" w:rsidRDefault="00F93689" w:rsidP="005F359B">
            <w:pPr>
              <w:autoSpaceDE w:val="0"/>
              <w:autoSpaceDN w:val="0"/>
              <w:adjustRightInd w:val="0"/>
              <w:spacing w:line="360" w:lineRule="auto"/>
              <w:jc w:val="center"/>
              <w:rPr>
                <w:color w:val="000000" w:themeColor="text1"/>
                <w:sz w:val="20"/>
                <w:szCs w:val="20"/>
              </w:rPr>
            </w:pPr>
            <w:r w:rsidRPr="00CA5EDA">
              <w:rPr>
                <w:color w:val="000000" w:themeColor="text1"/>
                <w:sz w:val="20"/>
                <w:szCs w:val="20"/>
              </w:rPr>
              <w:t>417 (75.1%)</w:t>
            </w:r>
          </w:p>
        </w:tc>
      </w:tr>
      <w:tr w:rsidR="00F93689" w:rsidRPr="00CA5EDA" w14:paraId="123D49FE" w14:textId="77777777" w:rsidTr="005F359B">
        <w:trPr>
          <w:trHeight w:val="293"/>
        </w:trPr>
        <w:tc>
          <w:tcPr>
            <w:tcW w:w="2872" w:type="pct"/>
            <w:tcBorders>
              <w:left w:val="nil"/>
              <w:bottom w:val="single" w:sz="4" w:space="0" w:color="auto"/>
              <w:right w:val="nil"/>
            </w:tcBorders>
            <w:noWrap/>
            <w:hideMark/>
          </w:tcPr>
          <w:p w14:paraId="168073C0" w14:textId="77777777" w:rsidR="00F93689" w:rsidRPr="00CA5EDA" w:rsidRDefault="00F93689" w:rsidP="005F359B">
            <w:pPr>
              <w:autoSpaceDE w:val="0"/>
              <w:autoSpaceDN w:val="0"/>
              <w:adjustRightInd w:val="0"/>
              <w:spacing w:line="360" w:lineRule="auto"/>
              <w:rPr>
                <w:color w:val="000000" w:themeColor="text1"/>
                <w:sz w:val="20"/>
                <w:szCs w:val="20"/>
              </w:rPr>
            </w:pPr>
            <w:r w:rsidRPr="00CA5EDA">
              <w:rPr>
                <w:color w:val="000000" w:themeColor="text1"/>
                <w:sz w:val="20"/>
                <w:szCs w:val="20"/>
              </w:rPr>
              <w:t>Age, mean (SD)</w:t>
            </w:r>
          </w:p>
        </w:tc>
        <w:tc>
          <w:tcPr>
            <w:tcW w:w="1081" w:type="pct"/>
            <w:tcBorders>
              <w:left w:val="nil"/>
              <w:bottom w:val="single" w:sz="4" w:space="0" w:color="auto"/>
              <w:right w:val="nil"/>
            </w:tcBorders>
            <w:noWrap/>
          </w:tcPr>
          <w:p w14:paraId="58E55D4C" w14:textId="0650671E" w:rsidR="00F93689" w:rsidRPr="00CA5EDA" w:rsidRDefault="00F93689" w:rsidP="005F359B">
            <w:pPr>
              <w:autoSpaceDE w:val="0"/>
              <w:autoSpaceDN w:val="0"/>
              <w:adjustRightInd w:val="0"/>
              <w:spacing w:line="360" w:lineRule="auto"/>
              <w:jc w:val="center"/>
              <w:rPr>
                <w:color w:val="000000" w:themeColor="text1"/>
                <w:sz w:val="20"/>
                <w:szCs w:val="20"/>
              </w:rPr>
            </w:pPr>
            <w:r w:rsidRPr="00CA5EDA">
              <w:rPr>
                <w:color w:val="000000" w:themeColor="text1"/>
                <w:sz w:val="20"/>
                <w:szCs w:val="20"/>
              </w:rPr>
              <w:t xml:space="preserve">  38.4 (11.9)</w:t>
            </w:r>
          </w:p>
        </w:tc>
        <w:tc>
          <w:tcPr>
            <w:tcW w:w="1047" w:type="pct"/>
            <w:tcBorders>
              <w:left w:val="nil"/>
              <w:bottom w:val="single" w:sz="4" w:space="0" w:color="auto"/>
              <w:right w:val="nil"/>
            </w:tcBorders>
            <w:noWrap/>
          </w:tcPr>
          <w:p w14:paraId="72391090" w14:textId="77777777" w:rsidR="00F93689" w:rsidRPr="00CA5EDA" w:rsidRDefault="00F93689" w:rsidP="005F359B">
            <w:pPr>
              <w:autoSpaceDE w:val="0"/>
              <w:autoSpaceDN w:val="0"/>
              <w:adjustRightInd w:val="0"/>
              <w:spacing w:line="360" w:lineRule="auto"/>
              <w:jc w:val="center"/>
              <w:rPr>
                <w:color w:val="000000" w:themeColor="text1"/>
                <w:sz w:val="20"/>
                <w:szCs w:val="20"/>
              </w:rPr>
            </w:pPr>
            <w:r w:rsidRPr="00CA5EDA">
              <w:rPr>
                <w:color w:val="000000" w:themeColor="text1"/>
                <w:sz w:val="20"/>
                <w:szCs w:val="20"/>
              </w:rPr>
              <w:t>38.2 (12.1)</w:t>
            </w:r>
          </w:p>
        </w:tc>
      </w:tr>
      <w:tr w:rsidR="00F93689" w:rsidRPr="00CA5EDA" w14:paraId="4346FA0B" w14:textId="77777777" w:rsidTr="005F359B">
        <w:trPr>
          <w:trHeight w:val="293"/>
        </w:trPr>
        <w:tc>
          <w:tcPr>
            <w:tcW w:w="2872" w:type="pct"/>
            <w:tcBorders>
              <w:top w:val="single" w:sz="4" w:space="0" w:color="auto"/>
              <w:left w:val="nil"/>
              <w:bottom w:val="nil"/>
              <w:right w:val="nil"/>
            </w:tcBorders>
            <w:noWrap/>
          </w:tcPr>
          <w:p w14:paraId="544C5B7B" w14:textId="77777777" w:rsidR="00F93689" w:rsidRPr="00CA5EDA" w:rsidRDefault="00F93689" w:rsidP="005F359B">
            <w:pPr>
              <w:autoSpaceDE w:val="0"/>
              <w:autoSpaceDN w:val="0"/>
              <w:adjustRightInd w:val="0"/>
              <w:spacing w:line="360" w:lineRule="auto"/>
              <w:rPr>
                <w:color w:val="000000" w:themeColor="text1"/>
                <w:sz w:val="20"/>
                <w:szCs w:val="20"/>
              </w:rPr>
            </w:pPr>
            <w:r w:rsidRPr="00CA5EDA">
              <w:rPr>
                <w:color w:val="000000" w:themeColor="text1"/>
                <w:sz w:val="20"/>
                <w:szCs w:val="20"/>
              </w:rPr>
              <w:t>Education, n (%)</w:t>
            </w:r>
          </w:p>
        </w:tc>
        <w:tc>
          <w:tcPr>
            <w:tcW w:w="1081" w:type="pct"/>
            <w:tcBorders>
              <w:top w:val="single" w:sz="4" w:space="0" w:color="auto"/>
              <w:left w:val="nil"/>
              <w:bottom w:val="nil"/>
              <w:right w:val="nil"/>
            </w:tcBorders>
            <w:noWrap/>
          </w:tcPr>
          <w:p w14:paraId="105E5F18" w14:textId="77777777" w:rsidR="00F93689" w:rsidRPr="00CA5EDA" w:rsidRDefault="00F93689" w:rsidP="005F359B">
            <w:pPr>
              <w:autoSpaceDE w:val="0"/>
              <w:autoSpaceDN w:val="0"/>
              <w:adjustRightInd w:val="0"/>
              <w:spacing w:line="360" w:lineRule="auto"/>
              <w:jc w:val="center"/>
              <w:rPr>
                <w:color w:val="000000" w:themeColor="text1"/>
                <w:sz w:val="20"/>
                <w:szCs w:val="20"/>
              </w:rPr>
            </w:pPr>
          </w:p>
        </w:tc>
        <w:tc>
          <w:tcPr>
            <w:tcW w:w="1047" w:type="pct"/>
            <w:tcBorders>
              <w:top w:val="single" w:sz="4" w:space="0" w:color="auto"/>
              <w:left w:val="nil"/>
              <w:bottom w:val="nil"/>
              <w:right w:val="nil"/>
            </w:tcBorders>
            <w:noWrap/>
          </w:tcPr>
          <w:p w14:paraId="0F72D44B" w14:textId="77777777" w:rsidR="00F93689" w:rsidRPr="00CA5EDA" w:rsidRDefault="00F93689" w:rsidP="005F359B">
            <w:pPr>
              <w:autoSpaceDE w:val="0"/>
              <w:autoSpaceDN w:val="0"/>
              <w:adjustRightInd w:val="0"/>
              <w:spacing w:line="360" w:lineRule="auto"/>
              <w:jc w:val="center"/>
              <w:rPr>
                <w:color w:val="000000" w:themeColor="text1"/>
                <w:sz w:val="20"/>
                <w:szCs w:val="20"/>
              </w:rPr>
            </w:pPr>
          </w:p>
        </w:tc>
      </w:tr>
      <w:tr w:rsidR="00F93689" w:rsidRPr="00CA5EDA" w14:paraId="3BF443EF" w14:textId="77777777" w:rsidTr="005F359B">
        <w:trPr>
          <w:trHeight w:val="293"/>
        </w:trPr>
        <w:tc>
          <w:tcPr>
            <w:tcW w:w="2872" w:type="pct"/>
            <w:tcBorders>
              <w:top w:val="nil"/>
              <w:left w:val="nil"/>
              <w:bottom w:val="nil"/>
              <w:right w:val="nil"/>
            </w:tcBorders>
            <w:noWrap/>
            <w:hideMark/>
          </w:tcPr>
          <w:p w14:paraId="14F345B3" w14:textId="77777777" w:rsidR="00F93689" w:rsidRPr="00CA5EDA" w:rsidRDefault="00F93689" w:rsidP="005F359B">
            <w:pPr>
              <w:autoSpaceDE w:val="0"/>
              <w:autoSpaceDN w:val="0"/>
              <w:adjustRightInd w:val="0"/>
              <w:spacing w:line="360" w:lineRule="auto"/>
              <w:ind w:left="144"/>
              <w:rPr>
                <w:color w:val="000000" w:themeColor="text1"/>
                <w:sz w:val="20"/>
                <w:szCs w:val="20"/>
              </w:rPr>
            </w:pPr>
            <w:r w:rsidRPr="00CA5EDA">
              <w:rPr>
                <w:color w:val="000000" w:themeColor="text1"/>
                <w:sz w:val="20"/>
                <w:szCs w:val="20"/>
              </w:rPr>
              <w:t>No formal schooling</w:t>
            </w:r>
          </w:p>
        </w:tc>
        <w:tc>
          <w:tcPr>
            <w:tcW w:w="1081" w:type="pct"/>
            <w:tcBorders>
              <w:top w:val="nil"/>
              <w:left w:val="nil"/>
              <w:bottom w:val="nil"/>
              <w:right w:val="nil"/>
            </w:tcBorders>
            <w:noWrap/>
          </w:tcPr>
          <w:p w14:paraId="53C5A55D" w14:textId="77777777" w:rsidR="00F93689" w:rsidRPr="00CA5EDA" w:rsidRDefault="00F93689" w:rsidP="005F359B">
            <w:pPr>
              <w:autoSpaceDE w:val="0"/>
              <w:autoSpaceDN w:val="0"/>
              <w:adjustRightInd w:val="0"/>
              <w:spacing w:line="360" w:lineRule="auto"/>
              <w:jc w:val="center"/>
              <w:rPr>
                <w:color w:val="000000" w:themeColor="text1"/>
                <w:sz w:val="20"/>
                <w:szCs w:val="20"/>
              </w:rPr>
            </w:pPr>
            <w:r w:rsidRPr="00CA5EDA">
              <w:rPr>
                <w:color w:val="000000" w:themeColor="text1"/>
                <w:sz w:val="20"/>
                <w:szCs w:val="20"/>
              </w:rPr>
              <w:t>175 (18.9%)</w:t>
            </w:r>
          </w:p>
        </w:tc>
        <w:tc>
          <w:tcPr>
            <w:tcW w:w="1047" w:type="pct"/>
            <w:tcBorders>
              <w:top w:val="nil"/>
              <w:left w:val="nil"/>
              <w:bottom w:val="nil"/>
              <w:right w:val="nil"/>
            </w:tcBorders>
            <w:noWrap/>
          </w:tcPr>
          <w:p w14:paraId="6065C99C" w14:textId="77777777" w:rsidR="00F93689" w:rsidRPr="00CA5EDA" w:rsidRDefault="00F93689" w:rsidP="005F359B">
            <w:pPr>
              <w:autoSpaceDE w:val="0"/>
              <w:autoSpaceDN w:val="0"/>
              <w:adjustRightInd w:val="0"/>
              <w:spacing w:line="360" w:lineRule="auto"/>
              <w:jc w:val="center"/>
              <w:rPr>
                <w:color w:val="000000" w:themeColor="text1"/>
                <w:sz w:val="20"/>
                <w:szCs w:val="20"/>
              </w:rPr>
            </w:pPr>
            <w:r w:rsidRPr="00CA5EDA">
              <w:rPr>
                <w:color w:val="000000" w:themeColor="text1"/>
                <w:sz w:val="20"/>
                <w:szCs w:val="20"/>
              </w:rPr>
              <w:t xml:space="preserve">99 (17.9%)  </w:t>
            </w:r>
          </w:p>
        </w:tc>
      </w:tr>
      <w:tr w:rsidR="00F93689" w:rsidRPr="00CA5EDA" w14:paraId="593B806B" w14:textId="77777777" w:rsidTr="005F359B">
        <w:trPr>
          <w:trHeight w:val="293"/>
        </w:trPr>
        <w:tc>
          <w:tcPr>
            <w:tcW w:w="2872" w:type="pct"/>
            <w:tcBorders>
              <w:top w:val="nil"/>
              <w:left w:val="nil"/>
              <w:bottom w:val="nil"/>
              <w:right w:val="nil"/>
            </w:tcBorders>
            <w:noWrap/>
            <w:hideMark/>
          </w:tcPr>
          <w:p w14:paraId="24DEEEA2" w14:textId="77777777" w:rsidR="00F93689" w:rsidRPr="00CA5EDA" w:rsidRDefault="00F93689" w:rsidP="005F359B">
            <w:pPr>
              <w:autoSpaceDE w:val="0"/>
              <w:autoSpaceDN w:val="0"/>
              <w:adjustRightInd w:val="0"/>
              <w:spacing w:line="360" w:lineRule="auto"/>
              <w:ind w:left="144"/>
              <w:rPr>
                <w:color w:val="000000" w:themeColor="text1"/>
                <w:sz w:val="20"/>
                <w:szCs w:val="20"/>
              </w:rPr>
            </w:pPr>
            <w:r w:rsidRPr="00CA5EDA">
              <w:rPr>
                <w:color w:val="000000" w:themeColor="text1"/>
                <w:sz w:val="20"/>
                <w:szCs w:val="20"/>
              </w:rPr>
              <w:t>Any primary schooling</w:t>
            </w:r>
          </w:p>
        </w:tc>
        <w:tc>
          <w:tcPr>
            <w:tcW w:w="1081" w:type="pct"/>
            <w:tcBorders>
              <w:top w:val="nil"/>
              <w:left w:val="nil"/>
              <w:bottom w:val="nil"/>
              <w:right w:val="nil"/>
            </w:tcBorders>
            <w:noWrap/>
          </w:tcPr>
          <w:p w14:paraId="17758948" w14:textId="77777777" w:rsidR="00F93689" w:rsidRPr="00CA5EDA" w:rsidRDefault="00F93689" w:rsidP="005F359B">
            <w:pPr>
              <w:autoSpaceDE w:val="0"/>
              <w:autoSpaceDN w:val="0"/>
              <w:adjustRightInd w:val="0"/>
              <w:spacing w:line="360" w:lineRule="auto"/>
              <w:jc w:val="center"/>
              <w:rPr>
                <w:color w:val="000000" w:themeColor="text1"/>
                <w:sz w:val="20"/>
                <w:szCs w:val="20"/>
              </w:rPr>
            </w:pPr>
            <w:r w:rsidRPr="00CA5EDA">
              <w:rPr>
                <w:color w:val="000000" w:themeColor="text1"/>
                <w:sz w:val="20"/>
                <w:szCs w:val="20"/>
              </w:rPr>
              <w:t>192 (20.7%)</w:t>
            </w:r>
          </w:p>
        </w:tc>
        <w:tc>
          <w:tcPr>
            <w:tcW w:w="1047" w:type="pct"/>
            <w:tcBorders>
              <w:top w:val="nil"/>
              <w:left w:val="nil"/>
              <w:bottom w:val="nil"/>
              <w:right w:val="nil"/>
            </w:tcBorders>
            <w:noWrap/>
          </w:tcPr>
          <w:p w14:paraId="13204D20" w14:textId="77777777" w:rsidR="00F93689" w:rsidRPr="00CA5EDA" w:rsidRDefault="00F93689" w:rsidP="005F359B">
            <w:pPr>
              <w:autoSpaceDE w:val="0"/>
              <w:autoSpaceDN w:val="0"/>
              <w:adjustRightInd w:val="0"/>
              <w:spacing w:line="360" w:lineRule="auto"/>
              <w:jc w:val="center"/>
              <w:rPr>
                <w:color w:val="000000" w:themeColor="text1"/>
                <w:sz w:val="20"/>
                <w:szCs w:val="20"/>
              </w:rPr>
            </w:pPr>
            <w:r w:rsidRPr="00CA5EDA">
              <w:rPr>
                <w:color w:val="000000" w:themeColor="text1"/>
                <w:sz w:val="20"/>
                <w:szCs w:val="20"/>
              </w:rPr>
              <w:t xml:space="preserve">142 (25.6%)  </w:t>
            </w:r>
          </w:p>
        </w:tc>
      </w:tr>
      <w:tr w:rsidR="00F93689" w:rsidRPr="00CA5EDA" w14:paraId="473133E2" w14:textId="77777777" w:rsidTr="005F359B">
        <w:trPr>
          <w:trHeight w:val="293"/>
        </w:trPr>
        <w:tc>
          <w:tcPr>
            <w:tcW w:w="2872" w:type="pct"/>
            <w:tcBorders>
              <w:top w:val="nil"/>
              <w:left w:val="nil"/>
              <w:bottom w:val="single" w:sz="4" w:space="0" w:color="auto"/>
              <w:right w:val="nil"/>
            </w:tcBorders>
            <w:noWrap/>
            <w:hideMark/>
          </w:tcPr>
          <w:p w14:paraId="5ABA60C3" w14:textId="77777777" w:rsidR="00F93689" w:rsidRPr="00CA5EDA" w:rsidRDefault="00F93689" w:rsidP="005F359B">
            <w:pPr>
              <w:autoSpaceDE w:val="0"/>
              <w:autoSpaceDN w:val="0"/>
              <w:adjustRightInd w:val="0"/>
              <w:spacing w:line="360" w:lineRule="auto"/>
              <w:ind w:left="144"/>
              <w:rPr>
                <w:color w:val="000000" w:themeColor="text1"/>
                <w:sz w:val="20"/>
                <w:szCs w:val="20"/>
              </w:rPr>
            </w:pPr>
            <w:r w:rsidRPr="00CA5EDA">
              <w:rPr>
                <w:color w:val="000000" w:themeColor="text1"/>
                <w:sz w:val="20"/>
                <w:szCs w:val="20"/>
              </w:rPr>
              <w:t>Any secondary schooling</w:t>
            </w:r>
          </w:p>
        </w:tc>
        <w:tc>
          <w:tcPr>
            <w:tcW w:w="1081" w:type="pct"/>
            <w:tcBorders>
              <w:top w:val="nil"/>
              <w:left w:val="nil"/>
              <w:bottom w:val="single" w:sz="4" w:space="0" w:color="auto"/>
              <w:right w:val="nil"/>
            </w:tcBorders>
            <w:noWrap/>
          </w:tcPr>
          <w:p w14:paraId="3B1EF527" w14:textId="77777777" w:rsidR="00F93689" w:rsidRPr="00CA5EDA" w:rsidRDefault="00F93689" w:rsidP="005F359B">
            <w:pPr>
              <w:autoSpaceDE w:val="0"/>
              <w:autoSpaceDN w:val="0"/>
              <w:adjustRightInd w:val="0"/>
              <w:spacing w:line="360" w:lineRule="auto"/>
              <w:jc w:val="center"/>
              <w:rPr>
                <w:color w:val="000000" w:themeColor="text1"/>
                <w:sz w:val="20"/>
                <w:szCs w:val="20"/>
              </w:rPr>
            </w:pPr>
            <w:r w:rsidRPr="00CA5EDA">
              <w:rPr>
                <w:color w:val="000000" w:themeColor="text1"/>
                <w:sz w:val="20"/>
                <w:szCs w:val="20"/>
              </w:rPr>
              <w:t>563 (60.5%)</w:t>
            </w:r>
          </w:p>
        </w:tc>
        <w:tc>
          <w:tcPr>
            <w:tcW w:w="1047" w:type="pct"/>
            <w:tcBorders>
              <w:top w:val="nil"/>
              <w:left w:val="nil"/>
              <w:bottom w:val="single" w:sz="4" w:space="0" w:color="auto"/>
              <w:right w:val="nil"/>
            </w:tcBorders>
            <w:noWrap/>
          </w:tcPr>
          <w:p w14:paraId="2DAFAA9E" w14:textId="77777777" w:rsidR="00F93689" w:rsidRPr="00CA5EDA" w:rsidRDefault="00F93689" w:rsidP="005F359B">
            <w:pPr>
              <w:autoSpaceDE w:val="0"/>
              <w:autoSpaceDN w:val="0"/>
              <w:adjustRightInd w:val="0"/>
              <w:spacing w:line="360" w:lineRule="auto"/>
              <w:jc w:val="center"/>
              <w:rPr>
                <w:color w:val="000000" w:themeColor="text1"/>
                <w:sz w:val="20"/>
                <w:szCs w:val="20"/>
              </w:rPr>
            </w:pPr>
            <w:r w:rsidRPr="00CA5EDA">
              <w:rPr>
                <w:color w:val="000000" w:themeColor="text1"/>
                <w:sz w:val="20"/>
                <w:szCs w:val="20"/>
              </w:rPr>
              <w:t>314 (56.6%)</w:t>
            </w:r>
          </w:p>
        </w:tc>
      </w:tr>
      <w:tr w:rsidR="00F93689" w:rsidRPr="00CA5EDA" w14:paraId="3118E056" w14:textId="77777777" w:rsidTr="005F359B">
        <w:trPr>
          <w:trHeight w:val="293"/>
        </w:trPr>
        <w:tc>
          <w:tcPr>
            <w:tcW w:w="2872" w:type="pct"/>
            <w:tcBorders>
              <w:left w:val="nil"/>
              <w:right w:val="nil"/>
            </w:tcBorders>
            <w:noWrap/>
          </w:tcPr>
          <w:p w14:paraId="45A03FB1" w14:textId="77777777" w:rsidR="00F93689" w:rsidRPr="00CA5EDA" w:rsidRDefault="00F93689" w:rsidP="005F359B">
            <w:pPr>
              <w:autoSpaceDE w:val="0"/>
              <w:autoSpaceDN w:val="0"/>
              <w:adjustRightInd w:val="0"/>
              <w:spacing w:line="360" w:lineRule="auto"/>
              <w:rPr>
                <w:color w:val="000000" w:themeColor="text1"/>
                <w:sz w:val="20"/>
                <w:szCs w:val="20"/>
              </w:rPr>
            </w:pPr>
            <w:r w:rsidRPr="00CA5EDA">
              <w:rPr>
                <w:color w:val="000000" w:themeColor="text1"/>
                <w:sz w:val="20"/>
                <w:szCs w:val="20"/>
              </w:rPr>
              <w:t>Married, n (%)</w:t>
            </w:r>
          </w:p>
        </w:tc>
        <w:tc>
          <w:tcPr>
            <w:tcW w:w="1081" w:type="pct"/>
            <w:tcBorders>
              <w:left w:val="nil"/>
              <w:right w:val="nil"/>
            </w:tcBorders>
            <w:noWrap/>
          </w:tcPr>
          <w:p w14:paraId="2FB833EE" w14:textId="77777777" w:rsidR="00F93689" w:rsidRPr="00CA5EDA" w:rsidRDefault="00F93689" w:rsidP="005F359B">
            <w:pPr>
              <w:autoSpaceDE w:val="0"/>
              <w:autoSpaceDN w:val="0"/>
              <w:adjustRightInd w:val="0"/>
              <w:spacing w:line="360" w:lineRule="auto"/>
              <w:jc w:val="center"/>
              <w:rPr>
                <w:color w:val="000000" w:themeColor="text1"/>
                <w:sz w:val="20"/>
                <w:szCs w:val="20"/>
              </w:rPr>
            </w:pPr>
            <w:r w:rsidRPr="00CA5EDA">
              <w:rPr>
                <w:color w:val="000000" w:themeColor="text1"/>
                <w:sz w:val="20"/>
                <w:szCs w:val="20"/>
              </w:rPr>
              <w:t xml:space="preserve">505 (54.3%)  </w:t>
            </w:r>
          </w:p>
        </w:tc>
        <w:tc>
          <w:tcPr>
            <w:tcW w:w="1047" w:type="pct"/>
            <w:tcBorders>
              <w:left w:val="nil"/>
              <w:right w:val="nil"/>
            </w:tcBorders>
            <w:noWrap/>
          </w:tcPr>
          <w:p w14:paraId="48AD0801" w14:textId="77777777" w:rsidR="00F93689" w:rsidRPr="00CA5EDA" w:rsidRDefault="00F93689" w:rsidP="005F359B">
            <w:pPr>
              <w:autoSpaceDE w:val="0"/>
              <w:autoSpaceDN w:val="0"/>
              <w:adjustRightInd w:val="0"/>
              <w:spacing w:line="360" w:lineRule="auto"/>
              <w:jc w:val="center"/>
              <w:rPr>
                <w:color w:val="000000" w:themeColor="text1"/>
                <w:sz w:val="20"/>
                <w:szCs w:val="20"/>
              </w:rPr>
            </w:pPr>
            <w:r w:rsidRPr="00CA5EDA">
              <w:rPr>
                <w:color w:val="000000" w:themeColor="text1"/>
                <w:sz w:val="20"/>
                <w:szCs w:val="20"/>
              </w:rPr>
              <w:t>316 (56.9%)</w:t>
            </w:r>
          </w:p>
        </w:tc>
      </w:tr>
      <w:tr w:rsidR="00F93689" w:rsidRPr="00CA5EDA" w14:paraId="039E7769" w14:textId="77777777" w:rsidTr="005F359B">
        <w:trPr>
          <w:trHeight w:val="293"/>
        </w:trPr>
        <w:tc>
          <w:tcPr>
            <w:tcW w:w="2872" w:type="pct"/>
            <w:tcBorders>
              <w:left w:val="nil"/>
              <w:right w:val="nil"/>
            </w:tcBorders>
            <w:noWrap/>
          </w:tcPr>
          <w:p w14:paraId="22631225" w14:textId="77777777" w:rsidR="00F93689" w:rsidRPr="00CA5EDA" w:rsidRDefault="00F93689" w:rsidP="005F359B">
            <w:pPr>
              <w:autoSpaceDE w:val="0"/>
              <w:autoSpaceDN w:val="0"/>
              <w:adjustRightInd w:val="0"/>
              <w:spacing w:line="360" w:lineRule="auto"/>
              <w:rPr>
                <w:color w:val="000000" w:themeColor="text1"/>
                <w:sz w:val="20"/>
                <w:szCs w:val="20"/>
              </w:rPr>
            </w:pPr>
            <w:r>
              <w:rPr>
                <w:color w:val="000000" w:themeColor="text1"/>
                <w:sz w:val="20"/>
                <w:szCs w:val="20"/>
              </w:rPr>
              <w:t>Number of household members &lt;15 years</w:t>
            </w:r>
          </w:p>
        </w:tc>
        <w:tc>
          <w:tcPr>
            <w:tcW w:w="1081" w:type="pct"/>
            <w:tcBorders>
              <w:left w:val="nil"/>
              <w:right w:val="nil"/>
            </w:tcBorders>
            <w:noWrap/>
          </w:tcPr>
          <w:p w14:paraId="4DBBD32F" w14:textId="77777777" w:rsidR="00F93689" w:rsidRPr="00CA5EDA" w:rsidRDefault="00F93689" w:rsidP="005F359B">
            <w:pPr>
              <w:autoSpaceDE w:val="0"/>
              <w:autoSpaceDN w:val="0"/>
              <w:adjustRightInd w:val="0"/>
              <w:spacing w:line="360" w:lineRule="auto"/>
              <w:jc w:val="center"/>
              <w:rPr>
                <w:color w:val="000000" w:themeColor="text1"/>
                <w:sz w:val="20"/>
                <w:szCs w:val="20"/>
              </w:rPr>
            </w:pPr>
            <w:r>
              <w:rPr>
                <w:color w:val="000000" w:themeColor="text1"/>
                <w:sz w:val="20"/>
                <w:szCs w:val="20"/>
              </w:rPr>
              <w:t>2.44 (1.11)</w:t>
            </w:r>
          </w:p>
        </w:tc>
        <w:tc>
          <w:tcPr>
            <w:tcW w:w="1047" w:type="pct"/>
            <w:tcBorders>
              <w:left w:val="nil"/>
              <w:right w:val="nil"/>
            </w:tcBorders>
            <w:noWrap/>
          </w:tcPr>
          <w:p w14:paraId="39A17F53" w14:textId="77777777" w:rsidR="00F93689" w:rsidRPr="00CA5EDA" w:rsidRDefault="00F93689" w:rsidP="005F359B">
            <w:pPr>
              <w:autoSpaceDE w:val="0"/>
              <w:autoSpaceDN w:val="0"/>
              <w:adjustRightInd w:val="0"/>
              <w:spacing w:line="360" w:lineRule="auto"/>
              <w:jc w:val="center"/>
              <w:rPr>
                <w:color w:val="000000" w:themeColor="text1"/>
                <w:sz w:val="20"/>
                <w:szCs w:val="20"/>
              </w:rPr>
            </w:pPr>
            <w:r>
              <w:rPr>
                <w:color w:val="000000" w:themeColor="text1"/>
                <w:sz w:val="20"/>
                <w:szCs w:val="20"/>
              </w:rPr>
              <w:t>2.58 (2.00)</w:t>
            </w:r>
          </w:p>
        </w:tc>
      </w:tr>
      <w:tr w:rsidR="00F93689" w:rsidRPr="00CA5EDA" w14:paraId="5A9A6C5B" w14:textId="77777777" w:rsidTr="005F359B">
        <w:trPr>
          <w:trHeight w:val="293"/>
        </w:trPr>
        <w:tc>
          <w:tcPr>
            <w:tcW w:w="2872" w:type="pct"/>
            <w:tcBorders>
              <w:left w:val="nil"/>
              <w:right w:val="nil"/>
            </w:tcBorders>
            <w:noWrap/>
          </w:tcPr>
          <w:p w14:paraId="7157ABF7" w14:textId="77777777" w:rsidR="00F93689" w:rsidRPr="00CA5EDA" w:rsidRDefault="00F93689" w:rsidP="005F359B">
            <w:pPr>
              <w:autoSpaceDE w:val="0"/>
              <w:autoSpaceDN w:val="0"/>
              <w:adjustRightInd w:val="0"/>
              <w:spacing w:line="360" w:lineRule="auto"/>
              <w:rPr>
                <w:color w:val="000000" w:themeColor="text1"/>
                <w:sz w:val="20"/>
                <w:szCs w:val="20"/>
              </w:rPr>
            </w:pPr>
            <w:r>
              <w:rPr>
                <w:color w:val="000000" w:themeColor="text1"/>
                <w:sz w:val="20"/>
                <w:szCs w:val="20"/>
              </w:rPr>
              <w:t>Number of household members 15-60 years</w:t>
            </w:r>
          </w:p>
        </w:tc>
        <w:tc>
          <w:tcPr>
            <w:tcW w:w="1081" w:type="pct"/>
            <w:tcBorders>
              <w:left w:val="nil"/>
              <w:right w:val="nil"/>
            </w:tcBorders>
            <w:noWrap/>
          </w:tcPr>
          <w:p w14:paraId="4B6D251B" w14:textId="77777777" w:rsidR="00F93689" w:rsidRPr="00CA5EDA" w:rsidRDefault="00F93689" w:rsidP="005F359B">
            <w:pPr>
              <w:autoSpaceDE w:val="0"/>
              <w:autoSpaceDN w:val="0"/>
              <w:adjustRightInd w:val="0"/>
              <w:spacing w:line="360" w:lineRule="auto"/>
              <w:jc w:val="center"/>
              <w:rPr>
                <w:color w:val="000000" w:themeColor="text1"/>
                <w:sz w:val="20"/>
                <w:szCs w:val="20"/>
              </w:rPr>
            </w:pPr>
            <w:r w:rsidRPr="00396ED0">
              <w:rPr>
                <w:color w:val="000000" w:themeColor="text1"/>
                <w:sz w:val="20"/>
                <w:szCs w:val="20"/>
              </w:rPr>
              <w:t>2.75</w:t>
            </w:r>
            <w:r>
              <w:rPr>
                <w:color w:val="000000" w:themeColor="text1"/>
                <w:sz w:val="20"/>
                <w:szCs w:val="20"/>
              </w:rPr>
              <w:t xml:space="preserve"> (</w:t>
            </w:r>
            <w:r w:rsidRPr="00396ED0">
              <w:rPr>
                <w:color w:val="000000" w:themeColor="text1"/>
                <w:sz w:val="20"/>
                <w:szCs w:val="20"/>
              </w:rPr>
              <w:t>2.2</w:t>
            </w:r>
            <w:r>
              <w:rPr>
                <w:color w:val="000000" w:themeColor="text1"/>
                <w:sz w:val="20"/>
                <w:szCs w:val="20"/>
              </w:rPr>
              <w:t>4)</w:t>
            </w:r>
          </w:p>
        </w:tc>
        <w:tc>
          <w:tcPr>
            <w:tcW w:w="1047" w:type="pct"/>
            <w:tcBorders>
              <w:left w:val="nil"/>
              <w:right w:val="nil"/>
            </w:tcBorders>
            <w:noWrap/>
          </w:tcPr>
          <w:p w14:paraId="353558BF" w14:textId="77777777" w:rsidR="00F93689" w:rsidRPr="00CA5EDA" w:rsidRDefault="00F93689" w:rsidP="005F359B">
            <w:pPr>
              <w:autoSpaceDE w:val="0"/>
              <w:autoSpaceDN w:val="0"/>
              <w:adjustRightInd w:val="0"/>
              <w:spacing w:line="360" w:lineRule="auto"/>
              <w:jc w:val="center"/>
              <w:rPr>
                <w:color w:val="000000" w:themeColor="text1"/>
                <w:sz w:val="20"/>
                <w:szCs w:val="20"/>
              </w:rPr>
            </w:pPr>
            <w:r w:rsidRPr="00396ED0">
              <w:rPr>
                <w:color w:val="000000" w:themeColor="text1"/>
                <w:sz w:val="20"/>
                <w:szCs w:val="20"/>
              </w:rPr>
              <w:t>3.2</w:t>
            </w:r>
            <w:r>
              <w:rPr>
                <w:color w:val="000000" w:themeColor="text1"/>
                <w:sz w:val="20"/>
                <w:szCs w:val="20"/>
              </w:rPr>
              <w:t>1 (</w:t>
            </w:r>
            <w:r w:rsidRPr="00396ED0">
              <w:rPr>
                <w:color w:val="000000" w:themeColor="text1"/>
                <w:sz w:val="20"/>
                <w:szCs w:val="20"/>
              </w:rPr>
              <w:t>2.22</w:t>
            </w:r>
            <w:r>
              <w:rPr>
                <w:color w:val="000000" w:themeColor="text1"/>
                <w:sz w:val="20"/>
                <w:szCs w:val="20"/>
              </w:rPr>
              <w:t>)</w:t>
            </w:r>
          </w:p>
        </w:tc>
      </w:tr>
      <w:tr w:rsidR="00F93689" w:rsidRPr="00CA5EDA" w14:paraId="41626611" w14:textId="77777777" w:rsidTr="005F359B">
        <w:trPr>
          <w:trHeight w:val="293"/>
        </w:trPr>
        <w:tc>
          <w:tcPr>
            <w:tcW w:w="2872" w:type="pct"/>
            <w:tcBorders>
              <w:left w:val="nil"/>
              <w:bottom w:val="single" w:sz="4" w:space="0" w:color="auto"/>
              <w:right w:val="nil"/>
            </w:tcBorders>
            <w:noWrap/>
          </w:tcPr>
          <w:p w14:paraId="713BB825" w14:textId="77777777" w:rsidR="00F93689" w:rsidRPr="00CA5EDA" w:rsidRDefault="00F93689" w:rsidP="005F359B">
            <w:pPr>
              <w:autoSpaceDE w:val="0"/>
              <w:autoSpaceDN w:val="0"/>
              <w:adjustRightInd w:val="0"/>
              <w:spacing w:line="360" w:lineRule="auto"/>
              <w:rPr>
                <w:color w:val="000000" w:themeColor="text1"/>
                <w:sz w:val="20"/>
                <w:szCs w:val="20"/>
              </w:rPr>
            </w:pPr>
            <w:r>
              <w:rPr>
                <w:color w:val="000000" w:themeColor="text1"/>
                <w:sz w:val="20"/>
                <w:szCs w:val="20"/>
              </w:rPr>
              <w:t>Number of household members &gt;60 years</w:t>
            </w:r>
          </w:p>
        </w:tc>
        <w:tc>
          <w:tcPr>
            <w:tcW w:w="1081" w:type="pct"/>
            <w:tcBorders>
              <w:left w:val="nil"/>
              <w:bottom w:val="single" w:sz="4" w:space="0" w:color="auto"/>
              <w:right w:val="nil"/>
            </w:tcBorders>
            <w:noWrap/>
          </w:tcPr>
          <w:p w14:paraId="1B146286" w14:textId="77777777" w:rsidR="00F93689" w:rsidRPr="00CA5EDA" w:rsidRDefault="00F93689" w:rsidP="005F359B">
            <w:pPr>
              <w:autoSpaceDE w:val="0"/>
              <w:autoSpaceDN w:val="0"/>
              <w:adjustRightInd w:val="0"/>
              <w:spacing w:line="360" w:lineRule="auto"/>
              <w:jc w:val="center"/>
              <w:rPr>
                <w:color w:val="000000" w:themeColor="text1"/>
                <w:sz w:val="20"/>
                <w:szCs w:val="20"/>
              </w:rPr>
            </w:pPr>
            <w:r>
              <w:rPr>
                <w:color w:val="000000" w:themeColor="text1"/>
                <w:sz w:val="20"/>
                <w:szCs w:val="20"/>
              </w:rPr>
              <w:t>0.35 (0.61)</w:t>
            </w:r>
          </w:p>
        </w:tc>
        <w:tc>
          <w:tcPr>
            <w:tcW w:w="1047" w:type="pct"/>
            <w:tcBorders>
              <w:left w:val="nil"/>
              <w:bottom w:val="single" w:sz="4" w:space="0" w:color="auto"/>
              <w:right w:val="nil"/>
            </w:tcBorders>
            <w:noWrap/>
          </w:tcPr>
          <w:p w14:paraId="7814648D" w14:textId="77777777" w:rsidR="00F93689" w:rsidRPr="00CA5EDA" w:rsidRDefault="00F93689" w:rsidP="005F359B">
            <w:pPr>
              <w:autoSpaceDE w:val="0"/>
              <w:autoSpaceDN w:val="0"/>
              <w:adjustRightInd w:val="0"/>
              <w:spacing w:line="360" w:lineRule="auto"/>
              <w:jc w:val="center"/>
              <w:rPr>
                <w:color w:val="000000" w:themeColor="text1"/>
                <w:sz w:val="20"/>
                <w:szCs w:val="20"/>
              </w:rPr>
            </w:pPr>
            <w:r>
              <w:rPr>
                <w:color w:val="000000" w:themeColor="text1"/>
                <w:sz w:val="20"/>
                <w:szCs w:val="20"/>
              </w:rPr>
              <w:t>0.45 (0.78)</w:t>
            </w:r>
          </w:p>
        </w:tc>
      </w:tr>
    </w:tbl>
    <w:p w14:paraId="76F262EE" w14:textId="77777777" w:rsidR="00F93689" w:rsidRPr="00876B40" w:rsidRDefault="00F93689" w:rsidP="00F93689">
      <w:pPr>
        <w:spacing w:line="360" w:lineRule="auto"/>
        <w:rPr>
          <w:color w:val="000000" w:themeColor="text1"/>
          <w:sz w:val="20"/>
          <w:szCs w:val="20"/>
          <w:lang w:val="fr-FR"/>
        </w:rPr>
      </w:pPr>
      <w:r w:rsidRPr="00876B40">
        <w:rPr>
          <w:color w:val="000000" w:themeColor="text1"/>
          <w:lang w:val="fr-FR"/>
        </w:rPr>
        <w:t xml:space="preserve">Notes: </w:t>
      </w:r>
      <w:r w:rsidRPr="00876B40">
        <w:rPr>
          <w:color w:val="000000" w:themeColor="text1"/>
          <w:sz w:val="20"/>
          <w:szCs w:val="20"/>
          <w:lang w:val="fr-FR"/>
        </w:rPr>
        <w:t>Abbreviations: EAAA, SD=standard deviation</w:t>
      </w:r>
    </w:p>
    <w:p w14:paraId="20769194" w14:textId="77777777" w:rsidR="005F12E8" w:rsidRPr="00876B40" w:rsidRDefault="005F12E8" w:rsidP="005F359B">
      <w:pPr>
        <w:rPr>
          <w:b/>
          <w:lang w:val="fr-FR"/>
        </w:rPr>
      </w:pPr>
    </w:p>
    <w:p w14:paraId="6EA6A79E" w14:textId="77777777" w:rsidR="00271D36" w:rsidRDefault="00271D36" w:rsidP="00271D36">
      <w:pPr>
        <w:pStyle w:val="Heading2"/>
        <w:spacing w:line="480" w:lineRule="auto"/>
        <w:rPr>
          <w:rFonts w:ascii="Times New Roman" w:hAnsi="Times New Roman" w:cs="Times New Roman"/>
          <w:b/>
          <w:color w:val="auto"/>
          <w:sz w:val="24"/>
          <w:szCs w:val="24"/>
          <w:lang w:val="en-GB"/>
        </w:rPr>
      </w:pPr>
      <w:r w:rsidRPr="004F036B">
        <w:rPr>
          <w:rFonts w:ascii="Times New Roman" w:hAnsi="Times New Roman" w:cs="Times New Roman"/>
          <w:b/>
          <w:color w:val="auto"/>
          <w:sz w:val="24"/>
          <w:szCs w:val="24"/>
          <w:lang w:val="en-GB"/>
        </w:rPr>
        <w:t>EAAA Intervention Impact on</w:t>
      </w:r>
      <w:r>
        <w:rPr>
          <w:rFonts w:ascii="Times New Roman" w:hAnsi="Times New Roman" w:cs="Times New Roman"/>
          <w:b/>
          <w:color w:val="auto"/>
          <w:sz w:val="24"/>
          <w:szCs w:val="24"/>
          <w:lang w:val="en-GB"/>
        </w:rPr>
        <w:t xml:space="preserve"> Patient’s </w:t>
      </w:r>
      <w:r w:rsidRPr="004F036B">
        <w:rPr>
          <w:rFonts w:ascii="Times New Roman" w:hAnsi="Times New Roman" w:cs="Times New Roman"/>
          <w:b/>
          <w:color w:val="auto"/>
          <w:sz w:val="24"/>
          <w:szCs w:val="24"/>
          <w:lang w:val="en-GB"/>
        </w:rPr>
        <w:t>Economic Outcomes</w:t>
      </w:r>
    </w:p>
    <w:p w14:paraId="69C7DA74" w14:textId="77777777" w:rsidR="00271D36" w:rsidRPr="004F036B" w:rsidRDefault="00271D36" w:rsidP="00271D36">
      <w:pPr>
        <w:spacing w:line="480" w:lineRule="auto"/>
        <w:rPr>
          <w:b/>
          <w:i/>
          <w:lang w:val="en-GB"/>
        </w:rPr>
      </w:pPr>
      <w:r w:rsidRPr="004F036B">
        <w:rPr>
          <w:b/>
          <w:i/>
          <w:lang w:val="en-GB"/>
        </w:rPr>
        <w:t>Time Use</w:t>
      </w:r>
    </w:p>
    <w:p w14:paraId="36D0737F" w14:textId="7A3851B4" w:rsidR="00096AF1" w:rsidRPr="00456B3D" w:rsidRDefault="00332CEA" w:rsidP="00456B3D">
      <w:pPr>
        <w:tabs>
          <w:tab w:val="left" w:pos="1980"/>
        </w:tabs>
        <w:spacing w:line="480" w:lineRule="auto"/>
        <w:jc w:val="both"/>
        <w:rPr>
          <w:color w:val="000000" w:themeColor="text1"/>
          <w:lang w:val="en-GB"/>
        </w:rPr>
      </w:pPr>
      <w:r>
        <w:rPr>
          <w:lang w:val="en-GB"/>
        </w:rPr>
        <w:t>The intervention impact on patient-level and household-level economic outcomes are presented in Figure 3.</w:t>
      </w:r>
      <w:r w:rsidR="00874217">
        <w:rPr>
          <w:lang w:val="en-GB"/>
        </w:rPr>
        <w:t xml:space="preserve"> </w:t>
      </w:r>
      <w:r w:rsidR="00874217" w:rsidRPr="004F036B">
        <w:rPr>
          <w:color w:val="000000" w:themeColor="text1"/>
        </w:rPr>
        <w:t xml:space="preserve">Histograms for all continuous outcome variables are presented in </w:t>
      </w:r>
      <w:r w:rsidR="00874217">
        <w:rPr>
          <w:color w:val="000000" w:themeColor="text1"/>
        </w:rPr>
        <w:t>Figure</w:t>
      </w:r>
      <w:r w:rsidR="00BF678A">
        <w:rPr>
          <w:color w:val="000000" w:themeColor="text1"/>
        </w:rPr>
        <w:t xml:space="preserve"> </w:t>
      </w:r>
      <w:r w:rsidR="00874217">
        <w:rPr>
          <w:color w:val="000000" w:themeColor="text1"/>
        </w:rPr>
        <w:t>3 supplements 1-4</w:t>
      </w:r>
      <w:r w:rsidR="00874217" w:rsidRPr="004F036B">
        <w:rPr>
          <w:color w:val="000000" w:themeColor="text1"/>
        </w:rPr>
        <w:t xml:space="preserve">. </w:t>
      </w:r>
      <w:r>
        <w:rPr>
          <w:lang w:val="en-GB"/>
        </w:rPr>
        <w:t xml:space="preserve"> </w:t>
      </w:r>
      <w:r w:rsidR="00271D36" w:rsidRPr="004F036B">
        <w:rPr>
          <w:lang w:val="en-GB"/>
        </w:rPr>
        <w:t xml:space="preserve">Participants in the EAAA group and in the standard of care group reported very similar levels of non-resting and income-generating time use. Non-resting time was approximately nine out of 24 hours in both study arms and the treatment effect was effectively null with an average marginal difference of only 0.6 </w:t>
      </w:r>
      <w:r w:rsidR="00271D36" w:rsidRPr="004F036B">
        <w:rPr>
          <w:lang w:val="en-GB"/>
        </w:rPr>
        <w:lastRenderedPageBreak/>
        <w:t xml:space="preserve">minutes between groups </w:t>
      </w:r>
      <w:r w:rsidR="00271D36" w:rsidRPr="004F036B">
        <w:rPr>
          <w:color w:val="000000" w:themeColor="text1"/>
          <w:lang w:val="en-GB"/>
        </w:rPr>
        <w:t>(RR= 1.00, 95% CI: 0.96, 1.05, p=0.9</w:t>
      </w:r>
      <w:r w:rsidR="00EE2A25">
        <w:rPr>
          <w:color w:val="000000" w:themeColor="text1"/>
          <w:lang w:val="en-GB"/>
        </w:rPr>
        <w:t>3</w:t>
      </w:r>
      <w:r w:rsidR="00271D36" w:rsidRPr="004F036B">
        <w:rPr>
          <w:color w:val="000000" w:themeColor="text1"/>
          <w:lang w:val="en-GB"/>
        </w:rPr>
        <w:t>)</w:t>
      </w:r>
      <w:r w:rsidR="00271D36" w:rsidRPr="004F036B">
        <w:rPr>
          <w:lang w:val="en-GB"/>
        </w:rPr>
        <w:t xml:space="preserve">. </w:t>
      </w:r>
      <w:r w:rsidR="00271D36" w:rsidRPr="00C11E1F">
        <w:rPr>
          <w:lang w:val="en-GB"/>
        </w:rPr>
        <w:t>The treatment</w:t>
      </w:r>
      <w:r w:rsidR="00271D36" w:rsidRPr="004F036B">
        <w:rPr>
          <w:lang w:val="en-GB"/>
        </w:rPr>
        <w:t xml:space="preserve"> effect also remained precise and close to zero in alternative regression specifications</w:t>
      </w:r>
      <w:r w:rsidR="00271D36" w:rsidRPr="004F036B">
        <w:rPr>
          <w:color w:val="000000" w:themeColor="text1"/>
          <w:lang w:val="en-GB"/>
        </w:rPr>
        <w:t xml:space="preserve">, which included a random slope </w:t>
      </w:r>
      <w:r w:rsidR="00271D36" w:rsidRPr="00C11E1F">
        <w:rPr>
          <w:color w:val="000000" w:themeColor="text1"/>
          <w:lang w:val="en-GB"/>
        </w:rPr>
        <w:t>for time (see</w:t>
      </w:r>
      <w:r w:rsidR="00291A7E">
        <w:rPr>
          <w:color w:val="000000" w:themeColor="text1"/>
          <w:lang w:val="en-GB"/>
        </w:rPr>
        <w:t xml:space="preserve"> Supplementary </w:t>
      </w:r>
      <w:r w:rsidR="00674EF5">
        <w:rPr>
          <w:color w:val="000000" w:themeColor="text1"/>
          <w:lang w:val="en-GB"/>
        </w:rPr>
        <w:t>Fi</w:t>
      </w:r>
      <w:r w:rsidR="00291A7E">
        <w:rPr>
          <w:color w:val="000000" w:themeColor="text1"/>
          <w:lang w:val="en-GB"/>
        </w:rPr>
        <w:t xml:space="preserve">le </w:t>
      </w:r>
      <w:r w:rsidR="00674EF5">
        <w:rPr>
          <w:color w:val="000000" w:themeColor="text1"/>
          <w:lang w:val="en-GB"/>
        </w:rPr>
        <w:t>1A</w:t>
      </w:r>
      <w:r w:rsidR="00271D36" w:rsidRPr="00C11E1F">
        <w:rPr>
          <w:color w:val="000000" w:themeColor="text1"/>
          <w:lang w:val="en-GB"/>
        </w:rPr>
        <w:t xml:space="preserve">). </w:t>
      </w:r>
      <w:r w:rsidR="00291A7E">
        <w:rPr>
          <w:color w:val="000000" w:themeColor="text1"/>
          <w:lang w:val="en-GB"/>
        </w:rPr>
        <w:t>In addition, t</w:t>
      </w:r>
      <w:r w:rsidR="00291A7E" w:rsidRPr="004F036B">
        <w:rPr>
          <w:lang w:val="en-GB"/>
        </w:rPr>
        <w:t>h</w:t>
      </w:r>
      <w:r w:rsidR="00291A7E">
        <w:rPr>
          <w:lang w:val="en-GB"/>
        </w:rPr>
        <w:t>e results were</w:t>
      </w:r>
      <w:r w:rsidR="00291A7E" w:rsidRPr="004F036B">
        <w:rPr>
          <w:lang w:val="en-GB"/>
        </w:rPr>
        <w:t xml:space="preserve"> similar </w:t>
      </w:r>
      <w:r w:rsidR="00291A7E">
        <w:rPr>
          <w:lang w:val="en-GB"/>
        </w:rPr>
        <w:t>when using a linear regression</w:t>
      </w:r>
      <w:r w:rsidR="00291A7E" w:rsidRPr="004F036B">
        <w:rPr>
          <w:lang w:val="en-GB"/>
        </w:rPr>
        <w:t xml:space="preserve"> specification (β=0.02, 95% CI: -0.36, 0.39, p=0.93, </w:t>
      </w:r>
      <w:r w:rsidR="00291A7E" w:rsidRPr="00C11E1F">
        <w:rPr>
          <w:lang w:val="en-GB"/>
        </w:rPr>
        <w:t xml:space="preserve">see </w:t>
      </w:r>
      <w:r w:rsidR="00291A7E">
        <w:rPr>
          <w:color w:val="000000" w:themeColor="text1"/>
          <w:lang w:val="en-GB"/>
        </w:rPr>
        <w:t xml:space="preserve">Supplementary </w:t>
      </w:r>
      <w:r w:rsidR="00674EF5">
        <w:rPr>
          <w:color w:val="000000" w:themeColor="text1"/>
          <w:lang w:val="en-GB"/>
        </w:rPr>
        <w:t>F</w:t>
      </w:r>
      <w:r w:rsidR="00291A7E">
        <w:rPr>
          <w:color w:val="000000" w:themeColor="text1"/>
          <w:lang w:val="en-GB"/>
        </w:rPr>
        <w:t>ile 1</w:t>
      </w:r>
      <w:r w:rsidR="00674EF5">
        <w:rPr>
          <w:color w:val="000000" w:themeColor="text1"/>
          <w:lang w:val="en-GB"/>
        </w:rPr>
        <w:t>G</w:t>
      </w:r>
      <w:r w:rsidR="00291A7E" w:rsidRPr="00C11E1F">
        <w:rPr>
          <w:lang w:val="en-GB"/>
        </w:rPr>
        <w:t xml:space="preserve">). </w:t>
      </w:r>
      <w:r w:rsidR="00271D36" w:rsidRPr="00C11E1F">
        <w:rPr>
          <w:color w:val="000000" w:themeColor="text1"/>
          <w:lang w:val="en-GB"/>
        </w:rPr>
        <w:t>Income-generating</w:t>
      </w:r>
      <w:r w:rsidR="00271D36" w:rsidRPr="004F036B">
        <w:rPr>
          <w:color w:val="000000" w:themeColor="text1"/>
          <w:lang w:val="en-GB"/>
        </w:rPr>
        <w:t xml:space="preserve"> time was also similar between both groups (RR= 0.94, 95% CI: 0.73,1.20, p=0.6</w:t>
      </w:r>
      <w:r>
        <w:rPr>
          <w:color w:val="000000" w:themeColor="text1"/>
          <w:lang w:val="en-GB"/>
        </w:rPr>
        <w:t>1</w:t>
      </w:r>
      <w:r w:rsidR="00271D36" w:rsidRPr="004F036B">
        <w:rPr>
          <w:color w:val="000000" w:themeColor="text1"/>
          <w:lang w:val="en-GB"/>
        </w:rPr>
        <w:t xml:space="preserve">), translating into an average marginal difference of only 12.6 minutes between </w:t>
      </w:r>
      <w:r w:rsidR="00271D36" w:rsidRPr="00AF506C">
        <w:rPr>
          <w:color w:val="000000" w:themeColor="text1"/>
          <w:lang w:val="en-GB"/>
        </w:rPr>
        <w:t xml:space="preserve">patients in the EAAA phase and patients in the standard of care phase. The difference was not statistically significant and remained similarly small in alternative specifications (see </w:t>
      </w:r>
      <w:r w:rsidR="00456B3D">
        <w:rPr>
          <w:color w:val="000000" w:themeColor="text1"/>
          <w:lang w:val="en-GB"/>
        </w:rPr>
        <w:t xml:space="preserve">Supplementary </w:t>
      </w:r>
      <w:r w:rsidR="00674EF5">
        <w:rPr>
          <w:color w:val="000000" w:themeColor="text1"/>
          <w:lang w:val="en-GB"/>
        </w:rPr>
        <w:t>F</w:t>
      </w:r>
      <w:r w:rsidR="00456B3D">
        <w:rPr>
          <w:color w:val="000000" w:themeColor="text1"/>
          <w:lang w:val="en-GB"/>
        </w:rPr>
        <w:t>ile 1</w:t>
      </w:r>
      <w:r w:rsidR="00674EF5">
        <w:rPr>
          <w:color w:val="000000" w:themeColor="text1"/>
          <w:lang w:val="en-GB"/>
        </w:rPr>
        <w:t>B</w:t>
      </w:r>
      <w:r w:rsidR="00271D36" w:rsidRPr="00AF506C">
        <w:rPr>
          <w:color w:val="000000" w:themeColor="text1"/>
          <w:lang w:val="en-GB"/>
        </w:rPr>
        <w:t>).</w:t>
      </w:r>
    </w:p>
    <w:p w14:paraId="7B472777" w14:textId="0C8DD02E" w:rsidR="00096AF1" w:rsidRDefault="00096AF1" w:rsidP="0095681B">
      <w:pPr>
        <w:tabs>
          <w:tab w:val="left" w:pos="1980"/>
        </w:tabs>
        <w:spacing w:line="360" w:lineRule="auto"/>
        <w:jc w:val="center"/>
        <w:rPr>
          <w:lang w:val="en-GB"/>
        </w:rPr>
      </w:pPr>
      <w:r>
        <w:rPr>
          <w:lang w:val="en-GB"/>
        </w:rPr>
        <w:t xml:space="preserve">Figure 3. The Causal Effect of </w:t>
      </w:r>
      <w:r w:rsidR="008E1905">
        <w:rPr>
          <w:lang w:val="en-GB"/>
        </w:rPr>
        <w:t>Early ART Initiation</w:t>
      </w:r>
      <w:r>
        <w:rPr>
          <w:lang w:val="en-GB"/>
        </w:rPr>
        <w:t xml:space="preserve"> on Economic Outcomes</w:t>
      </w:r>
    </w:p>
    <w:p w14:paraId="7925C0D4" w14:textId="44D69298" w:rsidR="00096AF1" w:rsidRDefault="003B1487" w:rsidP="009B6A6A">
      <w:pPr>
        <w:tabs>
          <w:tab w:val="left" w:pos="1980"/>
        </w:tabs>
        <w:spacing w:line="360" w:lineRule="auto"/>
        <w:jc w:val="both"/>
        <w:rPr>
          <w:lang w:val="en-GB"/>
        </w:rPr>
      </w:pPr>
      <w:r>
        <w:rPr>
          <w:noProof/>
          <w:lang w:val="en-GB"/>
        </w:rPr>
        <w:drawing>
          <wp:inline distT="0" distB="0" distL="0" distR="0" wp14:anchorId="76C29879" wp14:editId="661ABD62">
            <wp:extent cx="5932025" cy="4520327"/>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ain Results.png"/>
                    <pic:cNvPicPr/>
                  </pic:nvPicPr>
                  <pic:blipFill>
                    <a:blip r:embed="rId9">
                      <a:extLst>
                        <a:ext uri="{28A0092B-C50C-407E-A947-70E740481C1C}">
                          <a14:useLocalDpi xmlns:a14="http://schemas.microsoft.com/office/drawing/2010/main" val="0"/>
                        </a:ext>
                      </a:extLst>
                    </a:blip>
                    <a:stretch>
                      <a:fillRect/>
                    </a:stretch>
                  </pic:blipFill>
                  <pic:spPr>
                    <a:xfrm>
                      <a:off x="0" y="0"/>
                      <a:ext cx="5935948" cy="4523316"/>
                    </a:xfrm>
                    <a:prstGeom prst="rect">
                      <a:avLst/>
                    </a:prstGeom>
                  </pic:spPr>
                </pic:pic>
              </a:graphicData>
            </a:graphic>
          </wp:inline>
        </w:drawing>
      </w:r>
    </w:p>
    <w:p w14:paraId="57708E7C" w14:textId="1C1E174B" w:rsidR="00096AF1" w:rsidRPr="00E67FE2" w:rsidRDefault="00096AF1" w:rsidP="00E67FE2">
      <w:pPr>
        <w:tabs>
          <w:tab w:val="left" w:pos="1980"/>
        </w:tabs>
        <w:autoSpaceDE w:val="0"/>
        <w:autoSpaceDN w:val="0"/>
        <w:adjustRightInd w:val="0"/>
        <w:ind w:right="-613"/>
        <w:jc w:val="both"/>
        <w:rPr>
          <w:sz w:val="20"/>
        </w:rPr>
      </w:pPr>
      <w:r w:rsidRPr="00E67FE2">
        <w:rPr>
          <w:sz w:val="20"/>
          <w:lang w:val="en-GB"/>
        </w:rPr>
        <w:t xml:space="preserve">Notes: </w:t>
      </w:r>
      <w:r w:rsidRPr="00E67FE2">
        <w:rPr>
          <w:i/>
          <w:iCs/>
          <w:color w:val="000000" w:themeColor="text1"/>
          <w:sz w:val="20"/>
        </w:rPr>
        <w:t xml:space="preserve">Relative Risk presented for negative binomial mixed-effect regression with random intercept by healthcare facility (cluster) and a fixed effect for study period (Hussey &amp; Hughes, 2007). </w:t>
      </w:r>
      <w:r w:rsidR="00E67FE2" w:rsidRPr="00E67FE2">
        <w:rPr>
          <w:i/>
          <w:iCs/>
          <w:color w:val="000000" w:themeColor="text1"/>
          <w:sz w:val="20"/>
        </w:rPr>
        <w:t xml:space="preserve">All models control for respondent sex, age, marital status, and highest grade completed and were grand-mean centered. </w:t>
      </w:r>
      <w:r w:rsidRPr="00E67FE2">
        <w:rPr>
          <w:i/>
          <w:iCs/>
          <w:color w:val="000000" w:themeColor="text1"/>
          <w:sz w:val="20"/>
        </w:rPr>
        <w:t xml:space="preserve">Parametric p-value obtained directly from the regression output; non-parametric p-value obtained from a permutation test with 1000 replications. </w:t>
      </w:r>
      <w:r w:rsidR="00012CAF">
        <w:rPr>
          <w:i/>
          <w:iCs/>
          <w:color w:val="000000" w:themeColor="text1"/>
          <w:sz w:val="20"/>
        </w:rPr>
        <w:t xml:space="preserve"> </w:t>
      </w:r>
    </w:p>
    <w:p w14:paraId="26C94A8B" w14:textId="77777777" w:rsidR="00F93689" w:rsidRDefault="00F93689" w:rsidP="009B6A6A">
      <w:pPr>
        <w:tabs>
          <w:tab w:val="left" w:pos="1980"/>
        </w:tabs>
        <w:spacing w:line="360" w:lineRule="auto"/>
        <w:jc w:val="both"/>
        <w:sectPr w:rsidR="00F93689" w:rsidSect="00F93689">
          <w:footerReference w:type="default" r:id="rId10"/>
          <w:pgSz w:w="16838" w:h="11906" w:orient="landscape"/>
          <w:pgMar w:top="1440" w:right="1440" w:bottom="1440" w:left="1440" w:header="708" w:footer="708" w:gutter="0"/>
          <w:cols w:space="708"/>
          <w:docGrid w:linePitch="360"/>
        </w:sectPr>
      </w:pPr>
    </w:p>
    <w:p w14:paraId="55034534" w14:textId="77777777" w:rsidR="005C6A5C" w:rsidRPr="004F036B" w:rsidRDefault="005C6A5C" w:rsidP="00FD7308">
      <w:pPr>
        <w:tabs>
          <w:tab w:val="left" w:pos="1980"/>
        </w:tabs>
        <w:spacing w:line="480" w:lineRule="auto"/>
        <w:rPr>
          <w:b/>
          <w:i/>
          <w:lang w:val="en-GB"/>
        </w:rPr>
      </w:pPr>
      <w:r w:rsidRPr="004F036B">
        <w:rPr>
          <w:b/>
          <w:i/>
          <w:lang w:val="en-GB"/>
        </w:rPr>
        <w:lastRenderedPageBreak/>
        <w:t>Employment</w:t>
      </w:r>
    </w:p>
    <w:p w14:paraId="7982C550" w14:textId="6D0F0A4D" w:rsidR="005C6A5C" w:rsidRDefault="005C6A5C" w:rsidP="00FD7308">
      <w:pPr>
        <w:tabs>
          <w:tab w:val="left" w:pos="1980"/>
        </w:tabs>
        <w:spacing w:line="480" w:lineRule="auto"/>
        <w:jc w:val="both"/>
        <w:rPr>
          <w:lang w:val="en-GB"/>
        </w:rPr>
      </w:pPr>
      <w:bookmarkStart w:id="5" w:name="_Hlk47961681"/>
      <w:r w:rsidRPr="004F036B">
        <w:rPr>
          <w:lang w:val="en-GB"/>
        </w:rPr>
        <w:t xml:space="preserve">We observed a decline in general employment rates over the </w:t>
      </w:r>
      <w:r>
        <w:rPr>
          <w:lang w:val="en-GB"/>
        </w:rPr>
        <w:t xml:space="preserve">entire </w:t>
      </w:r>
      <w:r w:rsidRPr="004F036B">
        <w:rPr>
          <w:lang w:val="en-GB"/>
        </w:rPr>
        <w:t>study period</w:t>
      </w:r>
      <w:r>
        <w:rPr>
          <w:lang w:val="en-GB"/>
        </w:rPr>
        <w:t>, from 0.64 (SD=0.48) in study period 0 to 0.35 (SD</w:t>
      </w:r>
      <w:r>
        <w:rPr>
          <w:lang w:val="en-GB"/>
        </w:rPr>
        <w:lastRenderedPageBreak/>
        <w:t>=0.48) in study period</w:t>
      </w:r>
      <w:r w:rsidRPr="004F036B">
        <w:rPr>
          <w:lang w:val="en-GB"/>
        </w:rPr>
        <w:t xml:space="preserve"> </w:t>
      </w:r>
      <w:r w:rsidR="00136DF1">
        <w:rPr>
          <w:lang w:val="en-GB"/>
        </w:rPr>
        <w:t xml:space="preserve">7 </w:t>
      </w:r>
      <w:r w:rsidR="000C3EF1">
        <w:rPr>
          <w:lang w:val="en-GB"/>
        </w:rPr>
        <w:t xml:space="preserve">(see Figure </w:t>
      </w:r>
      <w:r w:rsidR="008E1905">
        <w:rPr>
          <w:lang w:val="en-GB"/>
        </w:rPr>
        <w:t>4</w:t>
      </w:r>
      <w:r>
        <w:rPr>
          <w:lang w:val="en-GB"/>
        </w:rPr>
        <w:t>)</w:t>
      </w:r>
      <w:r w:rsidRPr="004F036B">
        <w:rPr>
          <w:lang w:val="en-GB"/>
        </w:rPr>
        <w:t xml:space="preserve">. </w:t>
      </w:r>
      <w:bookmarkStart w:id="6" w:name="_Hlk47961662"/>
      <w:r w:rsidR="00F8780E">
        <w:rPr>
          <w:lang w:val="en-GB"/>
        </w:rPr>
        <w:t xml:space="preserve">The employment trend observed in our study population </w:t>
      </w:r>
      <w:r w:rsidR="00C92205">
        <w:rPr>
          <w:lang w:val="en-GB"/>
        </w:rPr>
        <w:t>stands in contrast to</w:t>
      </w:r>
      <w:r w:rsidR="00F8780E">
        <w:rPr>
          <w:lang w:val="en-GB"/>
        </w:rPr>
        <w:t xml:space="preserve"> the </w:t>
      </w:r>
      <w:r w:rsidR="00136DF1">
        <w:rPr>
          <w:lang w:val="en-GB"/>
        </w:rPr>
        <w:t>national employment rate</w:t>
      </w:r>
      <w:r w:rsidR="00F8780E">
        <w:rPr>
          <w:lang w:val="en-GB"/>
        </w:rPr>
        <w:t xml:space="preserve"> during th</w:t>
      </w:r>
      <w:r w:rsidR="00C92205">
        <w:rPr>
          <w:lang w:val="en-GB"/>
        </w:rPr>
        <w:t xml:space="preserve">e same </w:t>
      </w:r>
      <w:r w:rsidR="00F8780E">
        <w:rPr>
          <w:lang w:val="en-GB"/>
        </w:rPr>
        <w:t>period, which remained constant at 77-78%</w:t>
      </w:r>
      <w:r w:rsidR="00136DF1">
        <w:rPr>
          <w:lang w:val="en-GB"/>
        </w:rPr>
        <w:t>.</w:t>
      </w:r>
      <w:bookmarkEnd w:id="5"/>
      <w:r w:rsidR="00136DF1">
        <w:rPr>
          <w:lang w:val="en-GB"/>
        </w:rPr>
        <w:t xml:space="preserve"> </w:t>
      </w:r>
      <w:bookmarkEnd w:id="6"/>
      <w:r w:rsidRPr="004F036B">
        <w:rPr>
          <w:lang w:val="en-GB"/>
        </w:rPr>
        <w:t xml:space="preserve">The difference in employment </w:t>
      </w:r>
      <w:r>
        <w:rPr>
          <w:lang w:val="en-GB"/>
        </w:rPr>
        <w:t xml:space="preserve">status </w:t>
      </w:r>
      <w:r w:rsidRPr="004F036B">
        <w:rPr>
          <w:lang w:val="en-GB"/>
        </w:rPr>
        <w:t>between study groups was small and statistically insignificant (RR=0.9</w:t>
      </w:r>
      <w:r w:rsidR="009F2B37">
        <w:rPr>
          <w:lang w:val="en-GB"/>
        </w:rPr>
        <w:t>3</w:t>
      </w:r>
      <w:r w:rsidRPr="004F036B">
        <w:rPr>
          <w:lang w:val="en-GB"/>
        </w:rPr>
        <w:t>, 95% CI: 0.82, 1.04, p=0.</w:t>
      </w:r>
      <w:r w:rsidR="009F2B37">
        <w:rPr>
          <w:lang w:val="en-GB"/>
        </w:rPr>
        <w:t>21</w:t>
      </w:r>
      <w:r w:rsidRPr="004F036B">
        <w:rPr>
          <w:lang w:val="en-GB"/>
        </w:rPr>
        <w:t xml:space="preserve">, </w:t>
      </w:r>
      <w:r w:rsidR="009F2B37">
        <w:rPr>
          <w:lang w:val="en-GB"/>
        </w:rPr>
        <w:t>Figure 3</w:t>
      </w:r>
      <w:r w:rsidRPr="004F036B">
        <w:rPr>
          <w:lang w:val="en-GB"/>
        </w:rPr>
        <w:t xml:space="preserve">). This finding remained robust across all alternative regression </w:t>
      </w:r>
      <w:r w:rsidRPr="00AF506C">
        <w:rPr>
          <w:lang w:val="en-GB"/>
        </w:rPr>
        <w:t>specifications (see</w:t>
      </w:r>
      <w:r w:rsidR="00456B3D">
        <w:rPr>
          <w:lang w:val="en-GB"/>
        </w:rPr>
        <w:t xml:space="preserve"> </w:t>
      </w:r>
      <w:r w:rsidR="00456B3D">
        <w:rPr>
          <w:color w:val="000000" w:themeColor="text1"/>
          <w:lang w:val="en-GB"/>
        </w:rPr>
        <w:t xml:space="preserve">Supplementary </w:t>
      </w:r>
      <w:r w:rsidR="003D441E">
        <w:rPr>
          <w:color w:val="000000" w:themeColor="text1"/>
          <w:lang w:val="en-GB"/>
        </w:rPr>
        <w:t>F</w:t>
      </w:r>
      <w:r w:rsidR="00456B3D">
        <w:rPr>
          <w:color w:val="000000" w:themeColor="text1"/>
          <w:lang w:val="en-GB"/>
        </w:rPr>
        <w:t>ile 1</w:t>
      </w:r>
      <w:r w:rsidR="003D441E">
        <w:rPr>
          <w:color w:val="000000" w:themeColor="text1"/>
          <w:lang w:val="en-GB"/>
        </w:rPr>
        <w:t>C</w:t>
      </w:r>
      <w:r w:rsidRPr="00AF506C">
        <w:rPr>
          <w:lang w:val="en-GB"/>
        </w:rPr>
        <w:t>).</w:t>
      </w:r>
      <w:r w:rsidRPr="004F036B">
        <w:rPr>
          <w:lang w:val="en-GB"/>
        </w:rPr>
        <w:t xml:space="preserve"> </w:t>
      </w:r>
    </w:p>
    <w:p w14:paraId="7B6D34B0" w14:textId="504F2F2F" w:rsidR="000C3EF1" w:rsidRDefault="000C3EF1" w:rsidP="00FD7308">
      <w:pPr>
        <w:spacing w:after="160" w:line="480" w:lineRule="auto"/>
      </w:pPr>
    </w:p>
    <w:p w14:paraId="7CE927B4" w14:textId="750B0B5A" w:rsidR="000C3EF1" w:rsidRPr="00614787" w:rsidRDefault="000C3EF1" w:rsidP="002D0FE9">
      <w:pPr>
        <w:spacing w:line="480" w:lineRule="auto"/>
        <w:jc w:val="center"/>
      </w:pPr>
      <w:r>
        <w:t xml:space="preserve">Figure </w:t>
      </w:r>
      <w:r w:rsidR="008E1905">
        <w:t>4</w:t>
      </w:r>
      <w:r>
        <w:t>.</w:t>
      </w:r>
      <w:r w:rsidRPr="00614787">
        <w:t xml:space="preserve"> Average adjusted predictions of employment rates by period and study arm</w:t>
      </w:r>
    </w:p>
    <w:p w14:paraId="602B7C2B" w14:textId="43BF84BD" w:rsidR="00271D36" w:rsidRDefault="002D0FE9" w:rsidP="00271D36">
      <w:pPr>
        <w:pStyle w:val="Heading2"/>
        <w:spacing w:line="360" w:lineRule="auto"/>
        <w:rPr>
          <w:rFonts w:ascii="Times New Roman" w:hAnsi="Times New Roman" w:cs="Times New Roman"/>
          <w:b/>
          <w:color w:val="auto"/>
          <w:sz w:val="24"/>
          <w:szCs w:val="24"/>
          <w:lang w:val="en-GB"/>
        </w:rPr>
      </w:pPr>
      <w:r>
        <w:rPr>
          <w:noProof/>
        </w:rPr>
        <w:drawing>
          <wp:inline distT="0" distB="0" distL="0" distR="0" wp14:anchorId="25CE534B" wp14:editId="54D3EF08">
            <wp:extent cx="5875318" cy="394335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igure 4.PNG"/>
                    <pic:cNvPicPr/>
                  </pic:nvPicPr>
                  <pic:blipFill>
                    <a:blip r:embed="rId11">
                      <a:extLst>
                        <a:ext uri="{28A0092B-C50C-407E-A947-70E740481C1C}">
                          <a14:useLocalDpi xmlns:a14="http://schemas.microsoft.com/office/drawing/2010/main" val="0"/>
                        </a:ext>
                      </a:extLst>
                    </a:blip>
                    <a:stretch>
                      <a:fillRect/>
                    </a:stretch>
                  </pic:blipFill>
                  <pic:spPr>
                    <a:xfrm>
                      <a:off x="0" y="0"/>
                      <a:ext cx="5887136" cy="3951282"/>
                    </a:xfrm>
                    <a:prstGeom prst="rect">
                      <a:avLst/>
                    </a:prstGeom>
                  </pic:spPr>
                </pic:pic>
              </a:graphicData>
            </a:graphic>
          </wp:inline>
        </w:drawing>
      </w:r>
      <w:r w:rsidR="000C3EF1" w:rsidRPr="00DE14E6">
        <w:rPr>
          <w:sz w:val="22"/>
        </w:rPr>
        <w:t>Notes:</w:t>
      </w:r>
      <w:r w:rsidR="000C3EF1" w:rsidRPr="009F2B37">
        <w:rPr>
          <w:i/>
          <w:sz w:val="22"/>
        </w:rPr>
        <w:t xml:space="preserve"> Percent employed are the average adjusted predictions based on a logistic regression model with a time period fixed effect and a clinic-level random effect, interacting study period with trial arm, and controlling for patients’ age, sex, marital status, level of education, sex (binary), marital status (binary), and their level of education (continuous, specifying the highest grade completed). Period 0 and </w:t>
      </w:r>
      <w:r w:rsidR="00175982">
        <w:rPr>
          <w:i/>
          <w:sz w:val="22"/>
        </w:rPr>
        <w:t>7</w:t>
      </w:r>
      <w:r w:rsidR="000C3EF1" w:rsidRPr="009F2B37">
        <w:rPr>
          <w:i/>
          <w:sz w:val="22"/>
        </w:rPr>
        <w:t xml:space="preserve"> are not shown because all participants interviewed in period 0 were part of the control phase and all participants interviewed in the last period were exposed to the intervention. </w:t>
      </w:r>
      <w:r w:rsidR="00725C2D">
        <w:rPr>
          <w:i/>
          <w:sz w:val="22"/>
        </w:rPr>
        <w:t xml:space="preserve">The national total </w:t>
      </w:r>
      <w:proofErr w:type="spellStart"/>
      <w:r w:rsidR="00725C2D">
        <w:rPr>
          <w:i/>
          <w:sz w:val="22"/>
        </w:rPr>
        <w:t>l</w:t>
      </w:r>
      <w:r w:rsidR="00725C2D" w:rsidRPr="00175982">
        <w:rPr>
          <w:i/>
          <w:sz w:val="22"/>
        </w:rPr>
        <w:t>abo</w:t>
      </w:r>
      <w:r w:rsidR="00725C2D">
        <w:rPr>
          <w:i/>
          <w:sz w:val="22"/>
        </w:rPr>
        <w:t>u</w:t>
      </w:r>
      <w:r w:rsidR="00725C2D" w:rsidRPr="00175982">
        <w:rPr>
          <w:i/>
          <w:sz w:val="22"/>
        </w:rPr>
        <w:t>r</w:t>
      </w:r>
      <w:proofErr w:type="spellEnd"/>
      <w:r w:rsidR="00725C2D" w:rsidRPr="00175982">
        <w:rPr>
          <w:i/>
          <w:sz w:val="22"/>
        </w:rPr>
        <w:t xml:space="preserve"> force participation rate is</w:t>
      </w:r>
      <w:r w:rsidR="00725C2D">
        <w:rPr>
          <w:i/>
          <w:sz w:val="22"/>
        </w:rPr>
        <w:t xml:space="preserve"> based on World Bank data and captures</w:t>
      </w:r>
      <w:r w:rsidR="00725C2D" w:rsidRPr="00175982">
        <w:rPr>
          <w:i/>
          <w:sz w:val="22"/>
        </w:rPr>
        <w:t xml:space="preserve"> the proportion of the population </w:t>
      </w:r>
      <w:r w:rsidR="00725C2D">
        <w:rPr>
          <w:i/>
          <w:sz w:val="22"/>
        </w:rPr>
        <w:t>of working age</w:t>
      </w:r>
      <w:r w:rsidR="00725C2D" w:rsidRPr="00175982">
        <w:rPr>
          <w:i/>
          <w:sz w:val="22"/>
        </w:rPr>
        <w:t xml:space="preserve"> that is economically active</w:t>
      </w:r>
      <w:r w:rsidR="00DE222E">
        <w:rPr>
          <w:i/>
          <w:sz w:val="22"/>
        </w:rPr>
        <w:t xml:space="preserve"> during the reference period of one year.</w:t>
      </w:r>
      <w:r w:rsidR="00271D36" w:rsidRPr="004F036B">
        <w:rPr>
          <w:rFonts w:ascii="Times New Roman" w:hAnsi="Times New Roman" w:cs="Times New Roman"/>
          <w:b/>
          <w:color w:val="auto"/>
          <w:sz w:val="24"/>
          <w:szCs w:val="24"/>
          <w:lang w:val="en-GB"/>
        </w:rPr>
        <w:t xml:space="preserve">EAAA Intervention Impact on </w:t>
      </w:r>
      <w:r w:rsidR="00271D36">
        <w:rPr>
          <w:rFonts w:ascii="Times New Roman" w:hAnsi="Times New Roman" w:cs="Times New Roman"/>
          <w:b/>
          <w:color w:val="auto"/>
          <w:sz w:val="24"/>
          <w:szCs w:val="24"/>
          <w:lang w:val="en-GB"/>
        </w:rPr>
        <w:t xml:space="preserve">Household-level </w:t>
      </w:r>
      <w:r w:rsidR="00271D36" w:rsidRPr="004F036B">
        <w:rPr>
          <w:rFonts w:ascii="Times New Roman" w:hAnsi="Times New Roman" w:cs="Times New Roman"/>
          <w:b/>
          <w:color w:val="auto"/>
          <w:sz w:val="24"/>
          <w:szCs w:val="24"/>
          <w:lang w:val="en-GB"/>
        </w:rPr>
        <w:t>Economic Outcomes</w:t>
      </w:r>
    </w:p>
    <w:p w14:paraId="7F475B34" w14:textId="77777777" w:rsidR="00271D36" w:rsidRDefault="00271D36" w:rsidP="00271D36">
      <w:pPr>
        <w:tabs>
          <w:tab w:val="left" w:pos="1980"/>
        </w:tabs>
        <w:spacing w:line="360" w:lineRule="auto"/>
        <w:rPr>
          <w:b/>
          <w:i/>
          <w:lang w:val="en-GB"/>
        </w:rPr>
      </w:pPr>
    </w:p>
    <w:p w14:paraId="6F82D512" w14:textId="77777777" w:rsidR="00271D36" w:rsidRPr="004F036B" w:rsidRDefault="00271D36" w:rsidP="00271D36">
      <w:pPr>
        <w:tabs>
          <w:tab w:val="left" w:pos="1980"/>
        </w:tabs>
        <w:spacing w:line="480" w:lineRule="auto"/>
        <w:rPr>
          <w:b/>
          <w:i/>
          <w:lang w:val="en-GB"/>
        </w:rPr>
      </w:pPr>
      <w:r w:rsidRPr="004F036B">
        <w:rPr>
          <w:b/>
          <w:i/>
          <w:lang w:val="en-GB"/>
        </w:rPr>
        <w:t>Household Expenditures</w:t>
      </w:r>
    </w:p>
    <w:p w14:paraId="0935050F" w14:textId="0CD95925" w:rsidR="00271D36" w:rsidRDefault="00271D36" w:rsidP="00271D36">
      <w:pPr>
        <w:tabs>
          <w:tab w:val="left" w:pos="1980"/>
        </w:tabs>
        <w:spacing w:line="480" w:lineRule="auto"/>
        <w:jc w:val="both"/>
        <w:rPr>
          <w:lang w:val="en-GB"/>
        </w:rPr>
      </w:pPr>
      <w:r w:rsidRPr="004F036B">
        <w:rPr>
          <w:lang w:val="en-GB"/>
        </w:rPr>
        <w:t>Patients’ total past-month household expenditures were 10% lower in the EAAA intervention group but</w:t>
      </w:r>
      <w:r>
        <w:rPr>
          <w:lang w:val="en-GB"/>
        </w:rPr>
        <w:t xml:space="preserve"> this difference was</w:t>
      </w:r>
      <w:r w:rsidRPr="004F036B">
        <w:rPr>
          <w:lang w:val="en-GB"/>
        </w:rPr>
        <w:t xml:space="preserve"> not statistically different from zero (RR=0.9</w:t>
      </w:r>
      <w:r w:rsidR="00AA4D14">
        <w:rPr>
          <w:lang w:val="en-GB"/>
        </w:rPr>
        <w:t>2</w:t>
      </w:r>
      <w:r w:rsidRPr="004F036B">
        <w:rPr>
          <w:lang w:val="en-GB"/>
        </w:rPr>
        <w:t>, 95% CI: 0.7</w:t>
      </w:r>
      <w:r w:rsidR="00AA4D14">
        <w:rPr>
          <w:lang w:val="en-GB"/>
        </w:rPr>
        <w:t>9</w:t>
      </w:r>
      <w:r w:rsidRPr="004F036B">
        <w:rPr>
          <w:lang w:val="en-GB"/>
        </w:rPr>
        <w:t>, 1.0</w:t>
      </w:r>
      <w:r w:rsidR="00AA4D14">
        <w:rPr>
          <w:lang w:val="en-GB"/>
        </w:rPr>
        <w:t>6</w:t>
      </w:r>
      <w:r w:rsidRPr="004F036B">
        <w:rPr>
          <w:lang w:val="en-GB"/>
        </w:rPr>
        <w:t>, p=0.</w:t>
      </w:r>
      <w:r w:rsidR="00AA4D14">
        <w:rPr>
          <w:lang w:val="en-GB"/>
        </w:rPr>
        <w:t>26</w:t>
      </w:r>
      <w:r w:rsidRPr="004F036B">
        <w:rPr>
          <w:lang w:val="en-GB"/>
        </w:rPr>
        <w:t xml:space="preserve">, see </w:t>
      </w:r>
      <w:r w:rsidR="00AA4D14">
        <w:rPr>
          <w:lang w:val="en-GB"/>
        </w:rPr>
        <w:t>Figure 3</w:t>
      </w:r>
      <w:r w:rsidRPr="004F036B">
        <w:rPr>
          <w:lang w:val="en-GB"/>
        </w:rPr>
        <w:t>).</w:t>
      </w:r>
      <w:r w:rsidRPr="00E92CAB">
        <w:rPr>
          <w:lang w:val="en-GB"/>
        </w:rPr>
        <w:t xml:space="preserve"> </w:t>
      </w:r>
      <w:r w:rsidRPr="004F036B">
        <w:rPr>
          <w:lang w:val="en-GB"/>
        </w:rPr>
        <w:t>All expenses were reported in Lilangeni (SZL) and converted into</w:t>
      </w:r>
      <w:r>
        <w:rPr>
          <w:lang w:val="en-GB"/>
        </w:rPr>
        <w:t xml:space="preserve"> US dollars adjusted for</w:t>
      </w:r>
      <w:r w:rsidRPr="004F036B">
        <w:rPr>
          <w:lang w:val="en-GB"/>
        </w:rPr>
        <w:t xml:space="preserve"> </w:t>
      </w:r>
      <w:r>
        <w:rPr>
          <w:lang w:val="en-GB"/>
        </w:rPr>
        <w:t>purchasing power parity (PPP) and inflation</w:t>
      </w:r>
      <w:r w:rsidRPr="004F036B">
        <w:rPr>
          <w:lang w:val="en-GB"/>
        </w:rPr>
        <w:t xml:space="preserve"> for reporting purposes</w:t>
      </w:r>
      <w:r>
        <w:rPr>
          <w:lang w:val="en-GB"/>
        </w:rPr>
        <w:t xml:space="preserve"> </w:t>
      </w:r>
      <w:r w:rsidRPr="004F036B">
        <w:rPr>
          <w:lang w:val="en-GB"/>
        </w:rPr>
        <w:t xml:space="preserve">This </w:t>
      </w:r>
      <w:r>
        <w:rPr>
          <w:lang w:val="en-GB"/>
        </w:rPr>
        <w:t>corresponds t</w:t>
      </w:r>
      <w:r w:rsidRPr="004F036B">
        <w:rPr>
          <w:lang w:val="en-GB"/>
        </w:rPr>
        <w:t xml:space="preserve">o a reduction in the mean expected monthly expenses of </w:t>
      </w:r>
      <w:r w:rsidR="00AA4D14" w:rsidRPr="00AA4D14">
        <w:rPr>
          <w:lang w:val="en-GB"/>
        </w:rPr>
        <w:t>105.8</w:t>
      </w:r>
      <w:r w:rsidR="00AA4D14">
        <w:rPr>
          <w:lang w:val="en-GB"/>
        </w:rPr>
        <w:t xml:space="preserve">3 </w:t>
      </w:r>
      <w:r w:rsidRPr="004F036B">
        <w:rPr>
          <w:lang w:val="en-GB"/>
        </w:rPr>
        <w:t xml:space="preserve">SZL (95% CI: </w:t>
      </w:r>
      <w:r w:rsidR="0075081E" w:rsidRPr="0075081E">
        <w:rPr>
          <w:lang w:val="en-GB"/>
        </w:rPr>
        <w:t>-289.042</w:t>
      </w:r>
      <w:r w:rsidR="000360A9">
        <w:rPr>
          <w:lang w:val="en-GB"/>
        </w:rPr>
        <w:t xml:space="preserve"> </w:t>
      </w:r>
      <w:r w:rsidRPr="004F036B">
        <w:rPr>
          <w:lang w:val="en-GB"/>
        </w:rPr>
        <w:t>to</w:t>
      </w:r>
      <w:r w:rsidR="0075081E" w:rsidRPr="0075081E">
        <w:rPr>
          <w:lang w:val="en-GB"/>
        </w:rPr>
        <w:t xml:space="preserve"> 77.38498</w:t>
      </w:r>
      <w:r w:rsidRPr="004F036B">
        <w:rPr>
          <w:lang w:val="en-GB"/>
        </w:rPr>
        <w:t xml:space="preserve"> SZL), or 2</w:t>
      </w:r>
      <w:r w:rsidR="00AA4D14">
        <w:rPr>
          <w:lang w:val="en-GB"/>
        </w:rPr>
        <w:t>0</w:t>
      </w:r>
      <w:r w:rsidRPr="002466E8">
        <w:rPr>
          <w:lang w:val="en-GB"/>
        </w:rPr>
        <w:t>.4</w:t>
      </w:r>
      <w:r w:rsidR="00AA4D14" w:rsidRPr="002466E8">
        <w:rPr>
          <w:lang w:val="en-GB"/>
        </w:rPr>
        <w:t>7</w:t>
      </w:r>
      <w:r w:rsidRPr="002466E8">
        <w:rPr>
          <w:lang w:val="en-GB"/>
        </w:rPr>
        <w:t xml:space="preserve"> PPP$ (95% CI: -5</w:t>
      </w:r>
      <w:r w:rsidR="00AA4D14" w:rsidRPr="002466E8">
        <w:rPr>
          <w:lang w:val="en-GB"/>
        </w:rPr>
        <w:t>5</w:t>
      </w:r>
      <w:r w:rsidRPr="002466E8">
        <w:rPr>
          <w:lang w:val="en-GB"/>
        </w:rPr>
        <w:t>.</w:t>
      </w:r>
      <w:r w:rsidR="00AA4D14" w:rsidRPr="002466E8">
        <w:rPr>
          <w:lang w:val="en-GB"/>
        </w:rPr>
        <w:t>93</w:t>
      </w:r>
      <w:r w:rsidRPr="002466E8">
        <w:rPr>
          <w:lang w:val="en-GB"/>
        </w:rPr>
        <w:t xml:space="preserve"> $ to </w:t>
      </w:r>
      <w:r w:rsidR="00AA4D14" w:rsidRPr="002466E8">
        <w:rPr>
          <w:lang w:val="en-GB"/>
        </w:rPr>
        <w:t>14</w:t>
      </w:r>
      <w:r w:rsidRPr="002466E8">
        <w:rPr>
          <w:lang w:val="en-GB"/>
        </w:rPr>
        <w:t>.9</w:t>
      </w:r>
      <w:r w:rsidR="00AA4D14" w:rsidRPr="002466E8">
        <w:rPr>
          <w:lang w:val="en-GB"/>
        </w:rPr>
        <w:t>7</w:t>
      </w:r>
      <w:r w:rsidRPr="002466E8">
        <w:rPr>
          <w:lang w:val="en-GB"/>
        </w:rPr>
        <w:t xml:space="preserve"> $).  Results remained virtually unchanged in alternative regression models (see </w:t>
      </w:r>
      <w:r w:rsidR="00456B3D">
        <w:rPr>
          <w:color w:val="000000" w:themeColor="text1"/>
          <w:lang w:val="en-GB"/>
        </w:rPr>
        <w:t xml:space="preserve">Supplementary </w:t>
      </w:r>
      <w:r w:rsidR="003D441E">
        <w:rPr>
          <w:color w:val="000000" w:themeColor="text1"/>
          <w:lang w:val="en-GB"/>
        </w:rPr>
        <w:t>F</w:t>
      </w:r>
      <w:r w:rsidR="00456B3D">
        <w:rPr>
          <w:color w:val="000000" w:themeColor="text1"/>
          <w:lang w:val="en-GB"/>
        </w:rPr>
        <w:t>ile 1</w:t>
      </w:r>
      <w:r w:rsidR="003D441E">
        <w:rPr>
          <w:color w:val="000000" w:themeColor="text1"/>
          <w:lang w:val="en-GB"/>
        </w:rPr>
        <w:t>D</w:t>
      </w:r>
      <w:r w:rsidRPr="002466E8">
        <w:rPr>
          <w:lang w:val="en-GB"/>
        </w:rPr>
        <w:t>) or when imputing missing data using MICE (N= 1475) (see</w:t>
      </w:r>
      <w:r w:rsidR="00456B3D" w:rsidRPr="00456B3D">
        <w:rPr>
          <w:color w:val="000000" w:themeColor="text1"/>
          <w:lang w:val="en-GB"/>
        </w:rPr>
        <w:t xml:space="preserve"> </w:t>
      </w:r>
      <w:r w:rsidR="00456B3D">
        <w:rPr>
          <w:color w:val="000000" w:themeColor="text1"/>
          <w:lang w:val="en-GB"/>
        </w:rPr>
        <w:t xml:space="preserve">Supplementary </w:t>
      </w:r>
      <w:r w:rsidR="003D441E">
        <w:rPr>
          <w:color w:val="000000" w:themeColor="text1"/>
          <w:lang w:val="en-GB"/>
        </w:rPr>
        <w:t>F</w:t>
      </w:r>
      <w:r w:rsidR="00456B3D">
        <w:rPr>
          <w:color w:val="000000" w:themeColor="text1"/>
          <w:lang w:val="en-GB"/>
        </w:rPr>
        <w:t xml:space="preserve">ile </w:t>
      </w:r>
      <w:r w:rsidR="003D441E">
        <w:rPr>
          <w:color w:val="000000" w:themeColor="text1"/>
          <w:lang w:val="en-GB"/>
        </w:rPr>
        <w:t>1E</w:t>
      </w:r>
      <w:r w:rsidRPr="002466E8">
        <w:rPr>
          <w:lang w:val="en-GB"/>
        </w:rPr>
        <w:t>).</w:t>
      </w:r>
      <w:r w:rsidRPr="004F036B">
        <w:rPr>
          <w:lang w:val="en-GB"/>
        </w:rPr>
        <w:t xml:space="preserve"> </w:t>
      </w:r>
    </w:p>
    <w:p w14:paraId="520FCB1E" w14:textId="77777777" w:rsidR="00271D36" w:rsidRPr="004F036B" w:rsidRDefault="00271D36" w:rsidP="00271D36">
      <w:pPr>
        <w:tabs>
          <w:tab w:val="left" w:pos="1980"/>
        </w:tabs>
        <w:spacing w:line="480" w:lineRule="auto"/>
        <w:jc w:val="both"/>
        <w:rPr>
          <w:b/>
          <w:i/>
        </w:rPr>
      </w:pPr>
    </w:p>
    <w:p w14:paraId="42F0205B" w14:textId="77777777" w:rsidR="00271D36" w:rsidRPr="004F036B" w:rsidRDefault="00271D36" w:rsidP="00271D36">
      <w:pPr>
        <w:spacing w:line="480" w:lineRule="auto"/>
        <w:rPr>
          <w:b/>
          <w:i/>
          <w:lang w:val="en-GB"/>
        </w:rPr>
      </w:pPr>
      <w:r w:rsidRPr="004F036B">
        <w:rPr>
          <w:b/>
          <w:i/>
          <w:lang w:val="en-GB"/>
        </w:rPr>
        <w:t>Household Living Standards</w:t>
      </w:r>
    </w:p>
    <w:p w14:paraId="11161076" w14:textId="06BD5145" w:rsidR="00271D36" w:rsidRDefault="00271D36" w:rsidP="00271D36">
      <w:pPr>
        <w:spacing w:line="480" w:lineRule="auto"/>
        <w:jc w:val="both"/>
        <w:rPr>
          <w:lang w:val="en-GB"/>
        </w:rPr>
      </w:pPr>
      <w:r w:rsidRPr="004F036B">
        <w:rPr>
          <w:lang w:val="en-GB"/>
        </w:rPr>
        <w:t xml:space="preserve">Lastly, the EAAA intervention did not significantly affect patients’ living standards. From a total of 42 possible owned assets and housing quality indicators, counts of assets were very similar in both groups. </w:t>
      </w:r>
      <w:r>
        <w:rPr>
          <w:lang w:val="en-GB"/>
        </w:rPr>
        <w:t>P</w:t>
      </w:r>
      <w:r w:rsidRPr="004F036B">
        <w:rPr>
          <w:lang w:val="en-GB"/>
        </w:rPr>
        <w:t>articipants in the EAAA treatment group reported on average 0.71 indicators less than participants in the standard of care group (RR=0.9</w:t>
      </w:r>
      <w:r w:rsidR="000360A9">
        <w:rPr>
          <w:lang w:val="en-GB"/>
        </w:rPr>
        <w:t>6</w:t>
      </w:r>
      <w:r w:rsidRPr="004F036B">
        <w:rPr>
          <w:lang w:val="en-GB"/>
        </w:rPr>
        <w:t>, 95% CI 0.9</w:t>
      </w:r>
      <w:r w:rsidR="000360A9">
        <w:rPr>
          <w:lang w:val="en-GB"/>
        </w:rPr>
        <w:t>2</w:t>
      </w:r>
      <w:r w:rsidRPr="004F036B">
        <w:rPr>
          <w:lang w:val="en-GB"/>
        </w:rPr>
        <w:t>, 1.0</w:t>
      </w:r>
      <w:r w:rsidR="000360A9">
        <w:rPr>
          <w:lang w:val="en-GB"/>
        </w:rPr>
        <w:t>0</w:t>
      </w:r>
      <w:r w:rsidRPr="004F036B">
        <w:rPr>
          <w:lang w:val="en-GB"/>
        </w:rPr>
        <w:t>, p=0.253). In alternative regression models (</w:t>
      </w:r>
      <w:r w:rsidR="00456B3D">
        <w:rPr>
          <w:color w:val="000000" w:themeColor="text1"/>
          <w:lang w:val="en-GB"/>
        </w:rPr>
        <w:t xml:space="preserve">Supplementary </w:t>
      </w:r>
      <w:r w:rsidR="003D441E">
        <w:rPr>
          <w:color w:val="000000" w:themeColor="text1"/>
          <w:lang w:val="en-GB"/>
        </w:rPr>
        <w:t>F</w:t>
      </w:r>
      <w:r w:rsidR="00456B3D">
        <w:rPr>
          <w:color w:val="000000" w:themeColor="text1"/>
          <w:lang w:val="en-GB"/>
        </w:rPr>
        <w:t>ile 1</w:t>
      </w:r>
      <w:r w:rsidR="003D441E">
        <w:rPr>
          <w:color w:val="000000" w:themeColor="text1"/>
          <w:lang w:val="en-GB"/>
        </w:rPr>
        <w:t>F</w:t>
      </w:r>
      <w:r w:rsidRPr="004F036B">
        <w:rPr>
          <w:lang w:val="en-GB"/>
        </w:rPr>
        <w:t>),</w:t>
      </w:r>
      <w:r w:rsidRPr="004F036B">
        <w:t xml:space="preserve"> </w:t>
      </w:r>
      <w:r>
        <w:rPr>
          <w:lang w:val="en-GB"/>
        </w:rPr>
        <w:t>linear</w:t>
      </w:r>
      <w:r w:rsidRPr="004F036B">
        <w:rPr>
          <w:lang w:val="en-GB"/>
        </w:rPr>
        <w:t xml:space="preserve"> </w:t>
      </w:r>
      <w:r w:rsidRPr="002466E8">
        <w:rPr>
          <w:lang w:val="en-GB"/>
        </w:rPr>
        <w:t>regressions (</w:t>
      </w:r>
      <w:r w:rsidR="00456B3D">
        <w:rPr>
          <w:color w:val="000000" w:themeColor="text1"/>
          <w:lang w:val="en-GB"/>
        </w:rPr>
        <w:t xml:space="preserve">Supplementary </w:t>
      </w:r>
      <w:proofErr w:type="spellStart"/>
      <w:r w:rsidR="003D441E">
        <w:rPr>
          <w:color w:val="000000" w:themeColor="text1"/>
          <w:lang w:val="en-GB"/>
        </w:rPr>
        <w:t>F</w:t>
      </w:r>
      <w:r w:rsidR="00456B3D">
        <w:rPr>
          <w:color w:val="000000" w:themeColor="text1"/>
          <w:lang w:val="en-GB"/>
        </w:rPr>
        <w:t>file</w:t>
      </w:r>
      <w:proofErr w:type="spellEnd"/>
      <w:r w:rsidR="00456B3D">
        <w:rPr>
          <w:color w:val="000000" w:themeColor="text1"/>
          <w:lang w:val="en-GB"/>
        </w:rPr>
        <w:t xml:space="preserve"> 1</w:t>
      </w:r>
      <w:r w:rsidR="003D441E">
        <w:rPr>
          <w:color w:val="000000" w:themeColor="text1"/>
          <w:lang w:val="en-GB"/>
        </w:rPr>
        <w:t>G</w:t>
      </w:r>
      <w:r w:rsidRPr="002466E8">
        <w:rPr>
          <w:lang w:val="en-GB"/>
        </w:rPr>
        <w:t xml:space="preserve">) and using an alternative principal-component-weighted outcome index (see </w:t>
      </w:r>
      <w:r w:rsidR="00456B3D">
        <w:rPr>
          <w:color w:val="000000" w:themeColor="text1"/>
          <w:lang w:val="en-GB"/>
        </w:rPr>
        <w:t xml:space="preserve">Supplementary </w:t>
      </w:r>
      <w:r w:rsidR="003D441E">
        <w:rPr>
          <w:color w:val="000000" w:themeColor="text1"/>
          <w:lang w:val="en-GB"/>
        </w:rPr>
        <w:t>F</w:t>
      </w:r>
      <w:r w:rsidR="00456B3D">
        <w:rPr>
          <w:color w:val="000000" w:themeColor="text1"/>
          <w:lang w:val="en-GB"/>
        </w:rPr>
        <w:t>ile 1</w:t>
      </w:r>
      <w:r w:rsidR="003D441E">
        <w:rPr>
          <w:color w:val="000000" w:themeColor="text1"/>
          <w:lang w:val="en-GB"/>
        </w:rPr>
        <w:t>H</w:t>
      </w:r>
      <w:r w:rsidR="00456B3D">
        <w:rPr>
          <w:color w:val="000000" w:themeColor="text1"/>
          <w:lang w:val="en-GB"/>
        </w:rPr>
        <w:t>,</w:t>
      </w:r>
      <w:r w:rsidRPr="002466E8">
        <w:rPr>
          <w:lang w:val="en-GB"/>
        </w:rPr>
        <w:t>), we found similar</w:t>
      </w:r>
      <w:r w:rsidRPr="004F036B">
        <w:rPr>
          <w:lang w:val="en-GB"/>
        </w:rPr>
        <w:t xml:space="preserve"> null effects.  </w:t>
      </w:r>
    </w:p>
    <w:p w14:paraId="7386293E" w14:textId="77777777" w:rsidR="000C3EF1" w:rsidRPr="00271D36" w:rsidRDefault="000C3EF1" w:rsidP="009B6A6A">
      <w:pPr>
        <w:spacing w:line="360" w:lineRule="auto"/>
        <w:rPr>
          <w:b/>
          <w:lang w:val="en-GB"/>
        </w:rPr>
      </w:pPr>
    </w:p>
    <w:p w14:paraId="55E8BA02" w14:textId="435D94CD" w:rsidR="0075048E" w:rsidRPr="004F036B" w:rsidRDefault="00FC3852" w:rsidP="00FD7308">
      <w:pPr>
        <w:pStyle w:val="Heading2"/>
        <w:spacing w:line="480" w:lineRule="auto"/>
        <w:rPr>
          <w:rFonts w:ascii="Times New Roman" w:hAnsi="Times New Roman" w:cs="Times New Roman"/>
          <w:b/>
          <w:bCs/>
          <w:color w:val="auto"/>
          <w:sz w:val="24"/>
          <w:szCs w:val="24"/>
          <w:lang w:val="en-GB"/>
        </w:rPr>
      </w:pPr>
      <w:r w:rsidRPr="004F036B">
        <w:rPr>
          <w:rFonts w:ascii="Times New Roman" w:hAnsi="Times New Roman" w:cs="Times New Roman"/>
          <w:b/>
          <w:bCs/>
          <w:color w:val="auto"/>
          <w:sz w:val="24"/>
          <w:szCs w:val="24"/>
          <w:lang w:val="en-GB"/>
        </w:rPr>
        <w:t>Heterogeneity in Treatment Effects</w:t>
      </w:r>
    </w:p>
    <w:p w14:paraId="51E1B944" w14:textId="1FB215F4" w:rsidR="0049748D" w:rsidRDefault="00E951BA" w:rsidP="00FD7308">
      <w:pPr>
        <w:spacing w:line="480" w:lineRule="auto"/>
        <w:jc w:val="both"/>
        <w:rPr>
          <w:lang w:val="en-GB"/>
        </w:rPr>
      </w:pPr>
      <w:r w:rsidRPr="004F036B">
        <w:rPr>
          <w:lang w:val="en-GB"/>
        </w:rPr>
        <w:t xml:space="preserve">Overall, the causal </w:t>
      </w:r>
      <w:r w:rsidR="00D23B81">
        <w:rPr>
          <w:lang w:val="en-GB"/>
        </w:rPr>
        <w:t xml:space="preserve">random </w:t>
      </w:r>
      <w:r w:rsidRPr="004F036B">
        <w:rPr>
          <w:lang w:val="en-GB"/>
        </w:rPr>
        <w:t>forests did not identify subgroups with effects that diverge</w:t>
      </w:r>
      <w:r w:rsidR="00720F12" w:rsidRPr="004F036B">
        <w:rPr>
          <w:lang w:val="en-GB"/>
        </w:rPr>
        <w:t>d</w:t>
      </w:r>
      <w:r w:rsidRPr="004F036B">
        <w:rPr>
          <w:lang w:val="en-GB"/>
        </w:rPr>
        <w:t xml:space="preserve"> </w:t>
      </w:r>
      <w:r w:rsidR="00832F41">
        <w:rPr>
          <w:lang w:val="en-GB"/>
        </w:rPr>
        <w:t>significantly</w:t>
      </w:r>
      <w:r w:rsidRPr="004F036B">
        <w:rPr>
          <w:lang w:val="en-GB"/>
        </w:rPr>
        <w:t xml:space="preserve"> from the average treatment </w:t>
      </w:r>
      <w:r w:rsidRPr="004F036B">
        <w:rPr>
          <w:lang w:val="en-GB"/>
        </w:rPr>
        <w:lastRenderedPageBreak/>
        <w:t xml:space="preserve">effect. </w:t>
      </w:r>
      <w:bookmarkStart w:id="7" w:name="_Hlk47550424"/>
      <w:r w:rsidR="001625F0" w:rsidRPr="004F036B">
        <w:rPr>
          <w:lang w:val="en-GB"/>
        </w:rPr>
        <w:t xml:space="preserve">Across outcomes, most heterogeneity was </w:t>
      </w:r>
      <w:r w:rsidR="001625F0" w:rsidRPr="004F036B">
        <w:rPr>
          <w:lang w:val="en-GB"/>
        </w:rPr>
        <w:lastRenderedPageBreak/>
        <w:t>found along the variables (</w:t>
      </w:r>
      <w:proofErr w:type="spellStart"/>
      <w:r w:rsidR="001625F0" w:rsidRPr="004F036B">
        <w:rPr>
          <w:lang w:val="en-GB"/>
        </w:rPr>
        <w:t>i</w:t>
      </w:r>
      <w:proofErr w:type="spellEnd"/>
      <w:r w:rsidR="001625F0" w:rsidRPr="004F036B">
        <w:rPr>
          <w:lang w:val="en-GB"/>
        </w:rPr>
        <w:t xml:space="preserve">) patients’ time on ART, (ii) </w:t>
      </w:r>
      <w:r w:rsidR="007F4448" w:rsidRPr="004F036B">
        <w:rPr>
          <w:lang w:val="en-GB"/>
        </w:rPr>
        <w:t>number of months passed since patients’</w:t>
      </w:r>
      <w:r w:rsidR="001625F0" w:rsidRPr="004F036B">
        <w:rPr>
          <w:lang w:val="en-GB"/>
        </w:rPr>
        <w:t xml:space="preserve"> HIV diagnosis, (ii</w:t>
      </w:r>
      <w:r w:rsidR="007F4448" w:rsidRPr="004F036B">
        <w:rPr>
          <w:lang w:val="en-GB"/>
        </w:rPr>
        <w:t>i) years of education completed, and (iv) age, whereas the importance metric for patients’ sex was very small</w:t>
      </w:r>
      <w:r w:rsidR="00FD64D6" w:rsidRPr="004F036B">
        <w:rPr>
          <w:lang w:val="en-GB"/>
        </w:rPr>
        <w:t>, possibly due to an over-representation of women in our sample</w:t>
      </w:r>
      <w:r w:rsidR="007F4448" w:rsidRPr="004F036B">
        <w:rPr>
          <w:lang w:val="en-GB"/>
        </w:rPr>
        <w:t xml:space="preserve">. </w:t>
      </w:r>
      <w:r w:rsidR="00D5554C" w:rsidRPr="004F036B">
        <w:rPr>
          <w:lang w:val="en-GB"/>
        </w:rPr>
        <w:t xml:space="preserve">The plots </w:t>
      </w:r>
      <w:r w:rsidR="00D5554C" w:rsidRPr="00C91284">
        <w:rPr>
          <w:lang w:val="en-GB"/>
        </w:rPr>
        <w:t xml:space="preserve">presented in </w:t>
      </w:r>
      <w:r w:rsidR="00E92CAB" w:rsidRPr="00C91284">
        <w:rPr>
          <w:lang w:val="en-GB"/>
        </w:rPr>
        <w:t>Figure</w:t>
      </w:r>
      <w:r w:rsidR="00874217">
        <w:rPr>
          <w:lang w:val="en-GB"/>
        </w:rPr>
        <w:t xml:space="preserve"> 3</w:t>
      </w:r>
      <w:r w:rsidR="00E92CAB" w:rsidRPr="00C91284">
        <w:rPr>
          <w:lang w:val="en-GB"/>
        </w:rPr>
        <w:t xml:space="preserve"> </w:t>
      </w:r>
      <w:r w:rsidR="00874217">
        <w:rPr>
          <w:lang w:val="en-GB"/>
        </w:rPr>
        <w:t>supplements 5-9</w:t>
      </w:r>
      <w:r w:rsidR="00D5554C" w:rsidRPr="00C91284">
        <w:rPr>
          <w:lang w:val="en-GB"/>
        </w:rPr>
        <w:t xml:space="preserve"> </w:t>
      </w:r>
      <w:r w:rsidR="00AE4DE2" w:rsidRPr="00C91284">
        <w:rPr>
          <w:lang w:val="en-GB"/>
        </w:rPr>
        <w:t xml:space="preserve">depict </w:t>
      </w:r>
      <w:r w:rsidR="00D5554C" w:rsidRPr="00C91284">
        <w:rPr>
          <w:lang w:val="en-GB"/>
        </w:rPr>
        <w:t>heterogeneity</w:t>
      </w:r>
      <w:r w:rsidR="00D5554C" w:rsidRPr="004F036B">
        <w:rPr>
          <w:lang w:val="en-GB"/>
        </w:rPr>
        <w:t xml:space="preserve"> in treatment effects along these</w:t>
      </w:r>
      <w:r w:rsidR="00AE4DE2" w:rsidRPr="004F036B">
        <w:rPr>
          <w:lang w:val="en-GB"/>
        </w:rPr>
        <w:t xml:space="preserve"> four</w:t>
      </w:r>
      <w:r w:rsidR="009948B9" w:rsidRPr="004F036B">
        <w:rPr>
          <w:lang w:val="en-GB"/>
        </w:rPr>
        <w:t xml:space="preserve"> moderating</w:t>
      </w:r>
      <w:r w:rsidR="00D5554C" w:rsidRPr="004F036B">
        <w:rPr>
          <w:lang w:val="en-GB"/>
        </w:rPr>
        <w:t xml:space="preserve"> variables</w:t>
      </w:r>
      <w:r w:rsidR="004A0F2A" w:rsidRPr="004F036B">
        <w:rPr>
          <w:lang w:val="en-GB"/>
        </w:rPr>
        <w:t xml:space="preserve">. </w:t>
      </w:r>
      <w:r w:rsidR="00C65378">
        <w:rPr>
          <w:lang w:val="en-GB"/>
        </w:rPr>
        <w:t xml:space="preserve">It appears that the program’s effect </w:t>
      </w:r>
      <w:r w:rsidR="004D2994">
        <w:rPr>
          <w:lang w:val="en-GB"/>
        </w:rPr>
        <w:t>most economic welfare outcomes was slightly higher for patients with shorter rather than longer time on ART. H</w:t>
      </w:r>
      <w:r w:rsidR="00C65378">
        <w:rPr>
          <w:lang w:val="en-GB"/>
        </w:rPr>
        <w:t>owever</w:t>
      </w:r>
      <w:r w:rsidR="00D5554C" w:rsidRPr="004F036B">
        <w:rPr>
          <w:lang w:val="en-GB"/>
        </w:rPr>
        <w:t xml:space="preserve">, it has to be cautioned that </w:t>
      </w:r>
      <w:r w:rsidR="00AE4DE2" w:rsidRPr="004F036B">
        <w:rPr>
          <w:lang w:val="en-GB"/>
        </w:rPr>
        <w:t>heterogeneity was not</w:t>
      </w:r>
      <w:r w:rsidR="00D5554C" w:rsidRPr="004F036B">
        <w:rPr>
          <w:lang w:val="en-GB"/>
        </w:rPr>
        <w:t xml:space="preserve"> </w:t>
      </w:r>
      <w:r w:rsidR="00C655A0">
        <w:rPr>
          <w:lang w:val="en-GB"/>
        </w:rPr>
        <w:t xml:space="preserve">statistically </w:t>
      </w:r>
      <w:r w:rsidR="00D5554C" w:rsidRPr="004F036B">
        <w:rPr>
          <w:lang w:val="en-GB"/>
        </w:rPr>
        <w:t>significan</w:t>
      </w:r>
      <w:r w:rsidR="00AE4DE2" w:rsidRPr="004F036B">
        <w:rPr>
          <w:lang w:val="en-GB"/>
        </w:rPr>
        <w:t>t for any of the</w:t>
      </w:r>
      <w:r w:rsidR="00FD64D6" w:rsidRPr="004F036B">
        <w:rPr>
          <w:lang w:val="en-GB"/>
        </w:rPr>
        <w:t xml:space="preserve"> </w:t>
      </w:r>
      <w:r w:rsidR="00903495" w:rsidRPr="004F036B">
        <w:rPr>
          <w:lang w:val="en-GB"/>
        </w:rPr>
        <w:t>four economic</w:t>
      </w:r>
      <w:r w:rsidR="00FD64D6" w:rsidRPr="004F036B">
        <w:rPr>
          <w:lang w:val="en-GB"/>
        </w:rPr>
        <w:t xml:space="preserve"> </w:t>
      </w:r>
      <w:r w:rsidR="00AE4DE2" w:rsidRPr="004F036B">
        <w:rPr>
          <w:lang w:val="en-GB"/>
        </w:rPr>
        <w:t xml:space="preserve">outcomes. </w:t>
      </w:r>
      <w:bookmarkEnd w:id="7"/>
    </w:p>
    <w:p w14:paraId="29F47E44" w14:textId="77777777" w:rsidR="00C77D28" w:rsidRPr="004F036B" w:rsidRDefault="00C77D28" w:rsidP="00C77D28">
      <w:pPr>
        <w:spacing w:line="480" w:lineRule="auto"/>
        <w:jc w:val="both"/>
        <w:rPr>
          <w:lang w:val="en-GB"/>
        </w:rPr>
      </w:pPr>
    </w:p>
    <w:p w14:paraId="60364B61" w14:textId="7E5EFF73" w:rsidR="00574FF9" w:rsidRDefault="00836D73" w:rsidP="00C77D28">
      <w:pPr>
        <w:pStyle w:val="Heading1"/>
        <w:spacing w:line="480" w:lineRule="auto"/>
        <w:rPr>
          <w:rFonts w:ascii="Times New Roman" w:hAnsi="Times New Roman" w:cs="Times New Roman"/>
          <w:b/>
          <w:color w:val="auto"/>
          <w:sz w:val="24"/>
          <w:szCs w:val="24"/>
          <w:lang w:val="en-GB"/>
        </w:rPr>
      </w:pPr>
      <w:r w:rsidRPr="004F036B">
        <w:rPr>
          <w:rFonts w:ascii="Times New Roman" w:hAnsi="Times New Roman" w:cs="Times New Roman"/>
          <w:b/>
          <w:color w:val="auto"/>
          <w:sz w:val="24"/>
          <w:szCs w:val="24"/>
          <w:lang w:val="en-GB"/>
        </w:rPr>
        <w:t>Discussion</w:t>
      </w:r>
    </w:p>
    <w:p w14:paraId="1D7AE952" w14:textId="77777777" w:rsidR="00C77D28" w:rsidRPr="00C77D28" w:rsidRDefault="00C77D28" w:rsidP="00C77D28">
      <w:pPr>
        <w:rPr>
          <w:lang w:val="en-GB"/>
        </w:rPr>
      </w:pPr>
    </w:p>
    <w:p w14:paraId="31477887" w14:textId="2D1786AB" w:rsidR="00E36449" w:rsidRDefault="00D93D3A" w:rsidP="00F04707">
      <w:pPr>
        <w:autoSpaceDE w:val="0"/>
        <w:autoSpaceDN w:val="0"/>
        <w:adjustRightInd w:val="0"/>
        <w:spacing w:line="480" w:lineRule="auto"/>
        <w:jc w:val="both"/>
        <w:rPr>
          <w:color w:val="000000"/>
          <w:lang w:val="en-GB"/>
        </w:rPr>
      </w:pPr>
      <w:r w:rsidRPr="004F036B">
        <w:t xml:space="preserve">We </w:t>
      </w:r>
      <w:r w:rsidR="00AF4502" w:rsidRPr="004F036B">
        <w:t xml:space="preserve">present the first </w:t>
      </w:r>
      <w:r w:rsidR="0094376F">
        <w:t xml:space="preserve">causal </w:t>
      </w:r>
      <w:r w:rsidR="00AF4502" w:rsidRPr="004F036B">
        <w:t>evaluation</w:t>
      </w:r>
      <w:r w:rsidR="00606604">
        <w:t xml:space="preserve"> </w:t>
      </w:r>
      <w:r w:rsidR="00AF4502" w:rsidRPr="004F036B">
        <w:t xml:space="preserve">of </w:t>
      </w:r>
      <w:r w:rsidR="00FC0C34">
        <w:t xml:space="preserve">the effect of </w:t>
      </w:r>
      <w:r w:rsidRPr="004F036B">
        <w:t>immediate ART</w:t>
      </w:r>
      <w:r w:rsidR="00AF4502" w:rsidRPr="004F036B">
        <w:rPr>
          <w:color w:val="000000" w:themeColor="text1"/>
        </w:rPr>
        <w:t xml:space="preserve"> </w:t>
      </w:r>
      <w:r w:rsidR="004678F9">
        <w:t>for all</w:t>
      </w:r>
      <w:r w:rsidR="00F347CB">
        <w:t xml:space="preserve"> HIV patients</w:t>
      </w:r>
      <w:r w:rsidR="004678F9">
        <w:t xml:space="preserve"> </w:t>
      </w:r>
      <w:r w:rsidR="00DD5D78" w:rsidRPr="004F036B">
        <w:t xml:space="preserve">on </w:t>
      </w:r>
      <w:r w:rsidR="0094376F">
        <w:t xml:space="preserve">wider </w:t>
      </w:r>
      <w:r w:rsidR="00DD5D78" w:rsidRPr="004F036B">
        <w:t>economic outcomes.</w:t>
      </w:r>
      <w:r w:rsidR="003167F5">
        <w:t xml:space="preserve"> </w:t>
      </w:r>
      <w:r w:rsidR="00A523B8" w:rsidRPr="004F036B">
        <w:rPr>
          <w:color w:val="000000"/>
          <w:lang w:val="en-GB"/>
        </w:rPr>
        <w:t xml:space="preserve">Based on our primary results and several robustness checks, we are able to </w:t>
      </w:r>
      <w:r w:rsidR="005D1DFF">
        <w:rPr>
          <w:color w:val="000000"/>
          <w:lang w:val="en-GB"/>
        </w:rPr>
        <w:t>conclude that</w:t>
      </w:r>
      <w:r w:rsidR="00A523B8" w:rsidRPr="004F036B">
        <w:rPr>
          <w:color w:val="000000"/>
          <w:lang w:val="en-GB"/>
        </w:rPr>
        <w:t xml:space="preserve"> large harmful effects</w:t>
      </w:r>
      <w:r w:rsidR="005D1DFF">
        <w:rPr>
          <w:color w:val="000000"/>
          <w:lang w:val="en-GB"/>
        </w:rPr>
        <w:t xml:space="preserve"> are very unlikely</w:t>
      </w:r>
      <w:r w:rsidR="006C55E8">
        <w:rPr>
          <w:color w:val="000000"/>
          <w:lang w:val="en-GB"/>
        </w:rPr>
        <w:t>. More specifically, w</w:t>
      </w:r>
      <w:proofErr w:type="spellStart"/>
      <w:r w:rsidR="0094376F">
        <w:t>e</w:t>
      </w:r>
      <w:proofErr w:type="spellEnd"/>
      <w:r w:rsidR="0094376F">
        <w:t xml:space="preserve"> found that neither patients’ time use nor their </w:t>
      </w:r>
      <w:r w:rsidR="009E1C95">
        <w:t xml:space="preserve">employment status </w:t>
      </w:r>
      <w:r w:rsidR="0083032F">
        <w:t>a</w:t>
      </w:r>
      <w:r w:rsidR="00106967">
        <w:t>n</w:t>
      </w:r>
      <w:r w:rsidR="0083032F">
        <w:t>d</w:t>
      </w:r>
      <w:r w:rsidR="009E1C95">
        <w:t xml:space="preserve"> </w:t>
      </w:r>
      <w:r w:rsidR="0094376F">
        <w:t xml:space="preserve">living </w:t>
      </w:r>
      <w:r w:rsidR="003B2104">
        <w:t>standard</w:t>
      </w:r>
      <w:r w:rsidR="0094376F">
        <w:t xml:space="preserve"> were positively or negatively </w:t>
      </w:r>
      <w:r w:rsidR="009F35E3">
        <w:t xml:space="preserve">affected </w:t>
      </w:r>
      <w:r w:rsidR="0094376F">
        <w:t>by the EAAA intervention.</w:t>
      </w:r>
      <w:r w:rsidR="009F35E3">
        <w:t xml:space="preserve"> </w:t>
      </w:r>
      <w:r w:rsidR="003156B4">
        <w:t>t</w:t>
      </w:r>
      <w:r w:rsidR="00DD5D78" w:rsidRPr="004F036B">
        <w:t>.</w:t>
      </w:r>
      <w:r w:rsidR="00330FFE" w:rsidRPr="004F036B">
        <w:t xml:space="preserve"> </w:t>
      </w:r>
      <w:r w:rsidR="001D376C">
        <w:t>Although</w:t>
      </w:r>
      <w:r w:rsidR="003E1239">
        <w:t xml:space="preserve"> we </w:t>
      </w:r>
      <w:r w:rsidR="006D6E69">
        <w:t xml:space="preserve">found </w:t>
      </w:r>
      <w:r w:rsidR="008E6CA4">
        <w:t xml:space="preserve">a </w:t>
      </w:r>
      <w:r w:rsidR="006D6E69">
        <w:t>reduction in monthly household expenditures among patients in the EAAA group</w:t>
      </w:r>
      <w:r w:rsidR="008E6CA4">
        <w:t>,</w:t>
      </w:r>
      <w:r w:rsidR="006D6E69">
        <w:t xml:space="preserve"> the </w:t>
      </w:r>
      <w:r w:rsidR="003E1239">
        <w:t>magnitude was small</w:t>
      </w:r>
      <w:r w:rsidR="001B0197">
        <w:t xml:space="preserve"> in size</w:t>
      </w:r>
      <w:r w:rsidR="006D6E69">
        <w:t xml:space="preserve"> (</w:t>
      </w:r>
      <w:r w:rsidR="008E6CA4">
        <w:t>-1</w:t>
      </w:r>
      <w:r w:rsidR="008E6CA4" w:rsidRPr="006D6E69">
        <w:t>26.17 SZL</w:t>
      </w:r>
      <w:r w:rsidR="006D6E69">
        <w:t xml:space="preserve">, corresponding to 3% of </w:t>
      </w:r>
      <w:r w:rsidR="008E6CA4">
        <w:t xml:space="preserve">the </w:t>
      </w:r>
      <w:r w:rsidR="006D6E69">
        <w:t>average monthly household expenditures in Eswatini)</w:t>
      </w:r>
      <w:r w:rsidR="00474280" w:rsidRPr="00474280">
        <w:rPr>
          <w:vertAlign w:val="superscript"/>
        </w:rPr>
        <w:t>21</w:t>
      </w:r>
      <w:r w:rsidR="006D6E69">
        <w:t xml:space="preserve"> and </w:t>
      </w:r>
      <w:r w:rsidR="006D6E69">
        <w:lastRenderedPageBreak/>
        <w:t>not statistically significant.</w:t>
      </w:r>
      <w:r w:rsidR="00A523B8">
        <w:t xml:space="preserve"> </w:t>
      </w:r>
      <w:r w:rsidR="00E84193">
        <w:t>Lastly, i</w:t>
      </w:r>
      <w:r w:rsidR="001C39E1" w:rsidRPr="004F036B">
        <w:t>n machine-learning-supported heterogeneity analyses, we</w:t>
      </w:r>
      <w:r w:rsidR="00E84193">
        <w:t xml:space="preserve"> also</w:t>
      </w:r>
      <w:r w:rsidR="001C39E1" w:rsidRPr="004F036B">
        <w:t xml:space="preserve"> </w:t>
      </w:r>
      <w:r w:rsidR="00D9354F" w:rsidRPr="004F036B">
        <w:t>did not find any patient subgroup for which the EAAA intervention either significantly improve</w:t>
      </w:r>
      <w:r w:rsidR="0086033C">
        <w:t>d</w:t>
      </w:r>
      <w:r w:rsidR="00D9354F" w:rsidRPr="004F036B">
        <w:t xml:space="preserve"> or deteriorate</w:t>
      </w:r>
      <w:r w:rsidR="0086033C">
        <w:t>d</w:t>
      </w:r>
      <w:r w:rsidR="00D9354F" w:rsidRPr="004F036B">
        <w:t xml:space="preserve"> </w:t>
      </w:r>
      <w:r w:rsidR="00FA03C3" w:rsidRPr="004F036B">
        <w:t xml:space="preserve">overall </w:t>
      </w:r>
      <w:r w:rsidR="00D9354F" w:rsidRPr="004F036B">
        <w:t xml:space="preserve">economic welfare. </w:t>
      </w:r>
      <w:r w:rsidR="00E84193">
        <w:rPr>
          <w:color w:val="000000"/>
          <w:lang w:val="en-GB"/>
        </w:rPr>
        <w:t xml:space="preserve"> </w:t>
      </w:r>
      <w:bookmarkStart w:id="8" w:name="_Hlk48062936"/>
      <w:r w:rsidR="00AF539E">
        <w:rPr>
          <w:color w:val="000000"/>
          <w:lang w:val="en-GB"/>
        </w:rPr>
        <w:t xml:space="preserve">Two previous publications based on the same trial </w:t>
      </w:r>
      <w:r w:rsidR="00D1637E">
        <w:rPr>
          <w:color w:val="000000"/>
          <w:lang w:val="en-GB"/>
        </w:rPr>
        <w:t xml:space="preserve">have </w:t>
      </w:r>
      <w:r w:rsidR="00AF539E">
        <w:rPr>
          <w:color w:val="000000"/>
          <w:lang w:val="en-GB"/>
        </w:rPr>
        <w:t>assess</w:t>
      </w:r>
      <w:r w:rsidR="00473AEE">
        <w:rPr>
          <w:color w:val="000000"/>
          <w:lang w:val="en-GB"/>
        </w:rPr>
        <w:t xml:space="preserve">ed </w:t>
      </w:r>
      <w:r w:rsidR="00B174EC">
        <w:rPr>
          <w:color w:val="000000"/>
          <w:lang w:val="en-GB"/>
        </w:rPr>
        <w:t xml:space="preserve">how </w:t>
      </w:r>
      <w:r w:rsidR="00AF539E">
        <w:rPr>
          <w:color w:val="000000"/>
          <w:lang w:val="en-GB"/>
        </w:rPr>
        <w:t>early ART initiation</w:t>
      </w:r>
      <w:r w:rsidR="00C16807">
        <w:rPr>
          <w:color w:val="000000"/>
          <w:lang w:val="en-GB"/>
        </w:rPr>
        <w:t xml:space="preserve"> </w:t>
      </w:r>
      <w:r w:rsidR="00B174EC">
        <w:rPr>
          <w:color w:val="000000"/>
          <w:lang w:val="en-GB"/>
        </w:rPr>
        <w:t>affected patients’ health</w:t>
      </w:r>
      <w:r w:rsidR="00AF539E">
        <w:rPr>
          <w:color w:val="000000"/>
          <w:lang w:val="en-GB"/>
        </w:rPr>
        <w:t xml:space="preserve">, revealing </w:t>
      </w:r>
      <w:r w:rsidR="005E43F4">
        <w:rPr>
          <w:color w:val="000000"/>
          <w:lang w:val="en-GB"/>
        </w:rPr>
        <w:t xml:space="preserve">a </w:t>
      </w:r>
      <w:r w:rsidR="00A12FB9">
        <w:rPr>
          <w:color w:val="000000"/>
          <w:lang w:val="en-GB"/>
        </w:rPr>
        <w:t xml:space="preserve">6% higher </w:t>
      </w:r>
      <w:r w:rsidR="005E43F4">
        <w:rPr>
          <w:color w:val="000000"/>
          <w:lang w:val="en-GB"/>
        </w:rPr>
        <w:t>retention in care</w:t>
      </w:r>
      <w:r w:rsidR="00811B18">
        <w:rPr>
          <w:color w:val="000000"/>
          <w:lang w:val="en-GB"/>
        </w:rPr>
        <w:t xml:space="preserve"> rate</w:t>
      </w:r>
      <w:r w:rsidR="005E43F4">
        <w:rPr>
          <w:color w:val="000000"/>
          <w:lang w:val="en-GB"/>
        </w:rPr>
        <w:t xml:space="preserve"> </w:t>
      </w:r>
      <w:r w:rsidR="00A12FB9">
        <w:rPr>
          <w:color w:val="000000"/>
          <w:lang w:val="en-GB"/>
        </w:rPr>
        <w:t xml:space="preserve">in the </w:t>
      </w:r>
      <w:r w:rsidR="00793FC1">
        <w:rPr>
          <w:color w:val="000000"/>
          <w:lang w:val="en-GB"/>
        </w:rPr>
        <w:t>EAAA</w:t>
      </w:r>
      <w:r w:rsidR="00A12FB9">
        <w:rPr>
          <w:color w:val="000000"/>
          <w:lang w:val="en-GB"/>
        </w:rPr>
        <w:t xml:space="preserve"> group</w:t>
      </w:r>
      <w:r w:rsidR="00F04707">
        <w:rPr>
          <w:color w:val="000000"/>
        </w:rPr>
        <w:t xml:space="preserve"> but no significant differences with regards to </w:t>
      </w:r>
      <w:r w:rsidR="00F04707" w:rsidRPr="00F04707">
        <w:rPr>
          <w:color w:val="000000"/>
          <w:lang w:val="en-GB"/>
        </w:rPr>
        <w:t>all-cause, disease-related,</w:t>
      </w:r>
      <w:r w:rsidR="00F04707">
        <w:rPr>
          <w:color w:val="000000"/>
          <w:lang w:val="en-GB"/>
        </w:rPr>
        <w:t xml:space="preserve"> </w:t>
      </w:r>
      <w:r w:rsidR="00F04707" w:rsidRPr="00F04707">
        <w:rPr>
          <w:color w:val="000000"/>
          <w:lang w:val="en-GB"/>
        </w:rPr>
        <w:t xml:space="preserve">and HIV-related </w:t>
      </w:r>
      <w:r w:rsidR="00F04707">
        <w:rPr>
          <w:color w:val="000000"/>
          <w:lang w:val="en-GB"/>
        </w:rPr>
        <w:t xml:space="preserve">mortality between the EAAA and </w:t>
      </w:r>
      <w:r w:rsidR="00307C3B">
        <w:rPr>
          <w:color w:val="000000"/>
          <w:lang w:val="en-GB"/>
        </w:rPr>
        <w:t xml:space="preserve">the </w:t>
      </w:r>
      <w:r w:rsidR="00F04707">
        <w:rPr>
          <w:color w:val="000000"/>
          <w:lang w:val="en-GB"/>
        </w:rPr>
        <w:t>standard of care group.</w:t>
      </w:r>
      <w:r w:rsidR="00474280" w:rsidRPr="00474280">
        <w:rPr>
          <w:vertAlign w:val="superscript"/>
        </w:rPr>
        <w:t>22,23</w:t>
      </w:r>
      <w:r w:rsidR="00C16807">
        <w:rPr>
          <w:color w:val="000000"/>
          <w:lang w:val="en-GB"/>
        </w:rPr>
        <w:t xml:space="preserve"> </w:t>
      </w:r>
      <w:r w:rsidR="00A12FB9">
        <w:rPr>
          <w:color w:val="000000"/>
          <w:lang w:val="en-GB"/>
        </w:rPr>
        <w:t>W</w:t>
      </w:r>
      <w:r w:rsidR="00AF539E">
        <w:rPr>
          <w:color w:val="000000"/>
          <w:lang w:val="en-GB"/>
        </w:rPr>
        <w:t xml:space="preserve">hile </w:t>
      </w:r>
      <w:r w:rsidR="00DF3097">
        <w:rPr>
          <w:color w:val="000000"/>
          <w:lang w:val="en-GB"/>
        </w:rPr>
        <w:t>we were unable to link responses from this survey to patients’ clinical data</w:t>
      </w:r>
      <w:r w:rsidR="00814CA0">
        <w:rPr>
          <w:color w:val="000000"/>
          <w:lang w:val="en-GB"/>
        </w:rPr>
        <w:t xml:space="preserve">, we may still </w:t>
      </w:r>
      <w:r w:rsidR="00FE6C5B">
        <w:rPr>
          <w:color w:val="000000"/>
          <w:lang w:val="en-GB"/>
        </w:rPr>
        <w:t xml:space="preserve">infer that more substantial health impacts would have been necessary to significantly affect patients’ economic welfare. It is also possible that both </w:t>
      </w:r>
      <w:r w:rsidR="00835758">
        <w:rPr>
          <w:color w:val="000000"/>
          <w:lang w:val="en-GB"/>
        </w:rPr>
        <w:t xml:space="preserve">the </w:t>
      </w:r>
      <w:r w:rsidR="00FE6C5B">
        <w:rPr>
          <w:color w:val="000000"/>
          <w:lang w:val="en-GB"/>
        </w:rPr>
        <w:t xml:space="preserve">health and economic benefits of early ART initiation only materialise </w:t>
      </w:r>
      <w:r w:rsidR="00A755E6">
        <w:rPr>
          <w:color w:val="000000"/>
          <w:lang w:val="en-GB"/>
        </w:rPr>
        <w:t>after a longer follow-up time</w:t>
      </w:r>
      <w:r w:rsidR="00FE6C5B">
        <w:rPr>
          <w:color w:val="000000"/>
          <w:lang w:val="en-GB"/>
        </w:rPr>
        <w:t xml:space="preserve">, beyond the </w:t>
      </w:r>
      <w:r w:rsidR="00A755E6">
        <w:rPr>
          <w:color w:val="000000"/>
          <w:lang w:val="en-GB"/>
        </w:rPr>
        <w:t xml:space="preserve">36-months </w:t>
      </w:r>
      <w:r w:rsidR="00FE6C5B">
        <w:rPr>
          <w:color w:val="000000"/>
          <w:lang w:val="en-GB"/>
        </w:rPr>
        <w:t>observation period covered in this trial</w:t>
      </w:r>
      <w:bookmarkEnd w:id="8"/>
      <w:r w:rsidR="00FE6C5B">
        <w:rPr>
          <w:color w:val="000000"/>
          <w:lang w:val="en-GB"/>
        </w:rPr>
        <w:t>.</w:t>
      </w:r>
      <w:r w:rsidR="00474280" w:rsidRPr="00474280">
        <w:rPr>
          <w:vertAlign w:val="superscript"/>
        </w:rPr>
        <w:t>24</w:t>
      </w:r>
      <w:r w:rsidR="00FE6C5B">
        <w:rPr>
          <w:color w:val="000000"/>
          <w:lang w:val="en-GB"/>
        </w:rPr>
        <w:t xml:space="preserve"> </w:t>
      </w:r>
      <w:bookmarkStart w:id="9" w:name="_Hlk47991050"/>
      <w:r w:rsidR="00E36D0C">
        <w:rPr>
          <w:color w:val="000000"/>
          <w:lang w:val="en-GB"/>
        </w:rPr>
        <w:t xml:space="preserve">A potential alternative explanation for the absence of strong and beneficial treatment effects could relate to </w:t>
      </w:r>
      <w:r w:rsidR="001E792D">
        <w:rPr>
          <w:color w:val="000000"/>
          <w:lang w:val="en-GB"/>
        </w:rPr>
        <w:t xml:space="preserve">the </w:t>
      </w:r>
      <w:r w:rsidR="00E36D0C">
        <w:rPr>
          <w:color w:val="000000"/>
          <w:lang w:val="en-GB"/>
        </w:rPr>
        <w:t xml:space="preserve">broader socioeconomic conditions </w:t>
      </w:r>
      <w:r w:rsidR="001E792D">
        <w:rPr>
          <w:color w:val="000000"/>
          <w:lang w:val="en-GB"/>
        </w:rPr>
        <w:t xml:space="preserve">of the </w:t>
      </w:r>
      <w:r w:rsidR="00E36D0C">
        <w:rPr>
          <w:color w:val="000000"/>
          <w:lang w:val="en-GB"/>
        </w:rPr>
        <w:t xml:space="preserve">study region. Hence, </w:t>
      </w:r>
      <w:r w:rsidR="001E792D">
        <w:rPr>
          <w:color w:val="000000"/>
          <w:lang w:val="en-GB"/>
        </w:rPr>
        <w:t xml:space="preserve">if </w:t>
      </w:r>
      <w:r w:rsidR="00E36D0C">
        <w:rPr>
          <w:color w:val="000000"/>
          <w:lang w:val="en-GB"/>
        </w:rPr>
        <w:t xml:space="preserve">income generation opportunities </w:t>
      </w:r>
      <w:r w:rsidR="001E792D">
        <w:rPr>
          <w:color w:val="000000"/>
          <w:lang w:val="en-GB"/>
        </w:rPr>
        <w:t>are</w:t>
      </w:r>
      <w:r w:rsidR="00651FE6">
        <w:rPr>
          <w:color w:val="000000"/>
          <w:lang w:val="en-GB"/>
        </w:rPr>
        <w:t xml:space="preserve"> </w:t>
      </w:r>
      <w:r w:rsidR="00D46F12">
        <w:rPr>
          <w:color w:val="000000"/>
          <w:lang w:val="en-GB"/>
        </w:rPr>
        <w:t xml:space="preserve">generally </w:t>
      </w:r>
      <w:r w:rsidR="00E36D0C">
        <w:rPr>
          <w:color w:val="000000"/>
          <w:lang w:val="en-GB"/>
        </w:rPr>
        <w:t>constr</w:t>
      </w:r>
      <w:r w:rsidR="00651FE6">
        <w:rPr>
          <w:color w:val="000000"/>
          <w:lang w:val="en-GB"/>
        </w:rPr>
        <w:t>a</w:t>
      </w:r>
      <w:r w:rsidR="00E36D0C">
        <w:rPr>
          <w:color w:val="000000"/>
          <w:lang w:val="en-GB"/>
        </w:rPr>
        <w:t>ined</w:t>
      </w:r>
      <w:r w:rsidR="001E792D">
        <w:rPr>
          <w:color w:val="000000"/>
          <w:lang w:val="en-GB"/>
        </w:rPr>
        <w:t xml:space="preserve"> due to given economic circumstances</w:t>
      </w:r>
      <w:r w:rsidR="00E36D0C">
        <w:rPr>
          <w:color w:val="000000"/>
          <w:lang w:val="en-GB"/>
        </w:rPr>
        <w:t xml:space="preserve">, </w:t>
      </w:r>
      <w:r w:rsidR="00C65DAC">
        <w:rPr>
          <w:color w:val="000000"/>
          <w:lang w:val="en-GB"/>
        </w:rPr>
        <w:t>HIV-</w:t>
      </w:r>
      <w:r w:rsidR="00E36D0C">
        <w:rPr>
          <w:color w:val="000000"/>
          <w:lang w:val="en-GB"/>
        </w:rPr>
        <w:t>patients</w:t>
      </w:r>
      <w:r w:rsidR="00C65DAC">
        <w:rPr>
          <w:color w:val="000000"/>
          <w:lang w:val="en-GB"/>
        </w:rPr>
        <w:t xml:space="preserve"> may be unable to find work</w:t>
      </w:r>
      <w:r w:rsidR="00B56DB5">
        <w:rPr>
          <w:color w:val="000000"/>
          <w:lang w:val="en-GB"/>
        </w:rPr>
        <w:t>,</w:t>
      </w:r>
      <w:r w:rsidR="00C65DAC">
        <w:rPr>
          <w:color w:val="000000"/>
          <w:lang w:val="en-GB"/>
        </w:rPr>
        <w:t xml:space="preserve"> irrespective of whether they a</w:t>
      </w:r>
      <w:r w:rsidR="00E36D0C">
        <w:rPr>
          <w:color w:val="000000"/>
          <w:lang w:val="en-GB"/>
        </w:rPr>
        <w:t>re</w:t>
      </w:r>
      <w:r w:rsidR="00D46F12">
        <w:rPr>
          <w:color w:val="000000"/>
          <w:lang w:val="en-GB"/>
        </w:rPr>
        <w:t xml:space="preserve"> healthy or not</w:t>
      </w:r>
      <w:r w:rsidR="00E36D0C">
        <w:rPr>
          <w:color w:val="000000"/>
          <w:lang w:val="en-GB"/>
        </w:rPr>
        <w:t>.</w:t>
      </w:r>
      <w:r w:rsidR="00A46DC1">
        <w:rPr>
          <w:color w:val="000000"/>
          <w:lang w:val="en-GB"/>
        </w:rPr>
        <w:t xml:space="preserve"> </w:t>
      </w:r>
      <w:r w:rsidR="00B53FFE">
        <w:rPr>
          <w:color w:val="000000"/>
          <w:lang w:val="en-GB"/>
        </w:rPr>
        <w:t xml:space="preserve">If patients’ health status does not substantially impact their </w:t>
      </w:r>
      <w:r w:rsidR="00651FE6">
        <w:rPr>
          <w:color w:val="000000"/>
          <w:lang w:val="en-GB"/>
        </w:rPr>
        <w:t xml:space="preserve">earning potential, other welfare indicators such as household expenditures and living standards are </w:t>
      </w:r>
      <w:r w:rsidR="00A46DC1">
        <w:rPr>
          <w:color w:val="000000"/>
          <w:lang w:val="en-GB"/>
        </w:rPr>
        <w:t xml:space="preserve">also unlikely </w:t>
      </w:r>
      <w:r w:rsidR="004939AC">
        <w:rPr>
          <w:color w:val="000000"/>
          <w:lang w:val="en-GB"/>
        </w:rPr>
        <w:t>to change</w:t>
      </w:r>
      <w:r w:rsidR="00651FE6">
        <w:rPr>
          <w:color w:val="000000"/>
          <w:lang w:val="en-GB"/>
        </w:rPr>
        <w:t>.</w:t>
      </w:r>
      <w:bookmarkEnd w:id="9"/>
      <w:r w:rsidR="006E1132">
        <w:rPr>
          <w:color w:val="000000"/>
          <w:lang w:val="en-GB"/>
        </w:rPr>
        <w:t xml:space="preserve"> </w:t>
      </w:r>
      <w:r w:rsidR="006E1132" w:rsidRPr="00C4761F">
        <w:t>However, we</w:t>
      </w:r>
      <w:r w:rsidR="00146285">
        <w:t xml:space="preserve"> partly alleviate this problem by adopting</w:t>
      </w:r>
      <w:r w:rsidR="006E1132" w:rsidRPr="00C4761F">
        <w:t xml:space="preserve"> a broad definition of employment by including informal and short-term work and should therefore be able to capture even small changes in participants’ income generation activities.</w:t>
      </w:r>
    </w:p>
    <w:p w14:paraId="1EA6639E" w14:textId="42BEFC0D" w:rsidR="00BD107B" w:rsidRDefault="00BD107B" w:rsidP="00FD7308">
      <w:pPr>
        <w:spacing w:line="480" w:lineRule="auto"/>
        <w:jc w:val="both"/>
        <w:rPr>
          <w:color w:val="000000"/>
          <w:lang w:val="en-GB"/>
        </w:rPr>
      </w:pPr>
    </w:p>
    <w:p w14:paraId="4F0581F7" w14:textId="30501DDF" w:rsidR="00B74DCE" w:rsidRDefault="00BD107B" w:rsidP="00FD7308">
      <w:pPr>
        <w:tabs>
          <w:tab w:val="left" w:pos="3261"/>
        </w:tabs>
        <w:spacing w:line="480" w:lineRule="auto"/>
        <w:jc w:val="both"/>
      </w:pPr>
      <w:r>
        <w:t>In contrast to several prior studies,</w:t>
      </w:r>
      <w:r w:rsidRPr="004F036B">
        <w:rPr>
          <w:vertAlign w:val="superscript"/>
        </w:rPr>
        <w:t>12–1</w:t>
      </w:r>
      <w:r>
        <w:rPr>
          <w:vertAlign w:val="superscript"/>
        </w:rPr>
        <w:t>5</w:t>
      </w:r>
      <w:r>
        <w:t xml:space="preserve"> our findings did</w:t>
      </w:r>
      <w:r w:rsidR="000A3EF2">
        <w:t xml:space="preserve"> </w:t>
      </w:r>
      <w:r>
        <w:t xml:space="preserve">not exhibit any substantial detrimental financial and economic consequences of ART initiation. At the very least, our results suggest that ART-related adverse events were not substantial enough to provoke significant drops in </w:t>
      </w:r>
      <w:r>
        <w:lastRenderedPageBreak/>
        <w:t>patients’ productivity levels.</w:t>
      </w:r>
      <w:r w:rsidR="00474280" w:rsidRPr="00474280">
        <w:rPr>
          <w:vertAlign w:val="superscript"/>
        </w:rPr>
        <w:t>25</w:t>
      </w:r>
      <w:r>
        <w:t xml:space="preserve"> We therefore add important new empirical evidence from the perspective of patients’ economic welfare, which – </w:t>
      </w:r>
      <w:bookmarkStart w:id="10" w:name="_Hlk48076488"/>
      <w:r>
        <w:t xml:space="preserve">given that EAAA does not appear to have large detrimental effects on patients’ economic welfare – support the 2015 WHO recommendation to offer immediate ART initiation to all HIV-patients. </w:t>
      </w:r>
    </w:p>
    <w:bookmarkEnd w:id="10"/>
    <w:p w14:paraId="7E7174C4" w14:textId="77777777" w:rsidR="00B74DCE" w:rsidRDefault="00B74DCE" w:rsidP="00FD7308">
      <w:pPr>
        <w:tabs>
          <w:tab w:val="left" w:pos="3261"/>
        </w:tabs>
        <w:spacing w:line="480" w:lineRule="auto"/>
        <w:jc w:val="both"/>
      </w:pPr>
    </w:p>
    <w:p w14:paraId="5B5DE9EB" w14:textId="0B3B2233" w:rsidR="00D81A2D" w:rsidRPr="004F036B" w:rsidRDefault="004F036B" w:rsidP="00FD7308">
      <w:pPr>
        <w:tabs>
          <w:tab w:val="left" w:pos="3261"/>
        </w:tabs>
        <w:spacing w:line="480" w:lineRule="auto"/>
        <w:jc w:val="both"/>
        <w:rPr>
          <w:lang w:val="en-GB"/>
        </w:rPr>
      </w:pPr>
      <w:r w:rsidRPr="004F036B">
        <w:rPr>
          <w:lang w:val="en-GB"/>
        </w:rPr>
        <w:t xml:space="preserve">Our study has several key strengths. </w:t>
      </w:r>
      <w:r w:rsidR="00CA5EDA">
        <w:rPr>
          <w:lang w:val="en-GB"/>
        </w:rPr>
        <w:t>First, we examine</w:t>
      </w:r>
      <w:r w:rsidR="004F62C0">
        <w:rPr>
          <w:lang w:val="en-GB"/>
        </w:rPr>
        <w:t>d</w:t>
      </w:r>
      <w:r w:rsidR="00CA5EDA">
        <w:rPr>
          <w:lang w:val="en-GB"/>
        </w:rPr>
        <w:t xml:space="preserve"> a comprehensive set of outcome</w:t>
      </w:r>
      <w:r w:rsidR="004F62C0">
        <w:rPr>
          <w:lang w:val="en-GB"/>
        </w:rPr>
        <w:t xml:space="preserve"> variables </w:t>
      </w:r>
      <w:r w:rsidR="00CA5EDA">
        <w:rPr>
          <w:lang w:val="en-GB"/>
        </w:rPr>
        <w:t>and are thus able to gai</w:t>
      </w:r>
      <w:r w:rsidR="00844844">
        <w:rPr>
          <w:lang w:val="en-GB"/>
        </w:rPr>
        <w:t>n</w:t>
      </w:r>
      <w:r w:rsidR="00CA5EDA">
        <w:rPr>
          <w:lang w:val="en-GB"/>
        </w:rPr>
        <w:t xml:space="preserve"> nuanced insights into participants’ overall economic situation. Although the different </w:t>
      </w:r>
      <w:r w:rsidR="004046C2">
        <w:rPr>
          <w:lang w:val="en-GB"/>
        </w:rPr>
        <w:t xml:space="preserve">outcomes </w:t>
      </w:r>
      <w:r w:rsidR="00CA5EDA">
        <w:rPr>
          <w:lang w:val="en-GB"/>
        </w:rPr>
        <w:t xml:space="preserve">are likely correlated, </w:t>
      </w:r>
      <w:r w:rsidR="00F91BA4">
        <w:rPr>
          <w:lang w:val="en-GB"/>
        </w:rPr>
        <w:t>t</w:t>
      </w:r>
      <w:r w:rsidR="00CA5EDA">
        <w:rPr>
          <w:lang w:val="en-GB"/>
        </w:rPr>
        <w:t xml:space="preserve">ime use and employment </w:t>
      </w:r>
      <w:r w:rsidR="00844844">
        <w:rPr>
          <w:lang w:val="en-GB"/>
        </w:rPr>
        <w:t>are</w:t>
      </w:r>
      <w:r w:rsidR="00CA5EDA">
        <w:rPr>
          <w:lang w:val="en-GB"/>
        </w:rPr>
        <w:t xml:space="preserve"> </w:t>
      </w:r>
      <w:r w:rsidR="00844844">
        <w:rPr>
          <w:lang w:val="en-GB"/>
        </w:rPr>
        <w:t xml:space="preserve">patient-level variables </w:t>
      </w:r>
      <w:r w:rsidR="007823C6">
        <w:rPr>
          <w:lang w:val="en-GB"/>
        </w:rPr>
        <w:t>whereas</w:t>
      </w:r>
      <w:r w:rsidR="00844844">
        <w:rPr>
          <w:lang w:val="en-GB"/>
        </w:rPr>
        <w:t xml:space="preserve"> expenditures and living standards are captured </w:t>
      </w:r>
      <w:r w:rsidR="00735F16">
        <w:rPr>
          <w:lang w:val="en-GB"/>
        </w:rPr>
        <w:t>at the</w:t>
      </w:r>
      <w:r w:rsidR="00844844">
        <w:rPr>
          <w:lang w:val="en-GB"/>
        </w:rPr>
        <w:t xml:space="preserve"> household</w:t>
      </w:r>
      <w:r w:rsidR="00A97DEA">
        <w:rPr>
          <w:lang w:val="en-GB"/>
        </w:rPr>
        <w:t xml:space="preserve"> </w:t>
      </w:r>
      <w:r w:rsidR="00844844">
        <w:rPr>
          <w:lang w:val="en-GB"/>
        </w:rPr>
        <w:t>level</w:t>
      </w:r>
      <w:r w:rsidR="00735F16">
        <w:rPr>
          <w:lang w:val="en-GB"/>
        </w:rPr>
        <w:t xml:space="preserve">. The latter two variables </w:t>
      </w:r>
      <w:r w:rsidR="00844844">
        <w:rPr>
          <w:lang w:val="en-GB"/>
        </w:rPr>
        <w:t>could</w:t>
      </w:r>
      <w:r w:rsidR="00924544">
        <w:rPr>
          <w:lang w:val="en-GB"/>
        </w:rPr>
        <w:t xml:space="preserve"> thus</w:t>
      </w:r>
      <w:r w:rsidR="00844844">
        <w:rPr>
          <w:lang w:val="en-GB"/>
        </w:rPr>
        <w:t xml:space="preserve"> be differently affected by the EAAA intervention </w:t>
      </w:r>
      <w:r w:rsidR="008531BA">
        <w:rPr>
          <w:lang w:val="en-GB"/>
        </w:rPr>
        <w:t>depending on whether</w:t>
      </w:r>
      <w:r w:rsidR="00844844">
        <w:rPr>
          <w:lang w:val="en-GB"/>
        </w:rPr>
        <w:t xml:space="preserve"> the patient is the </w:t>
      </w:r>
      <w:r w:rsidR="0073725E">
        <w:rPr>
          <w:lang w:val="en-GB"/>
        </w:rPr>
        <w:t>household’s main breadwinner</w:t>
      </w:r>
      <w:r w:rsidR="00894F35">
        <w:rPr>
          <w:lang w:val="en-GB"/>
        </w:rPr>
        <w:t xml:space="preserve"> or not.</w:t>
      </w:r>
      <w:r w:rsidR="00653C5F">
        <w:rPr>
          <w:lang w:val="en-GB"/>
        </w:rPr>
        <w:t xml:space="preserve"> </w:t>
      </w:r>
      <w:r w:rsidR="00F24144">
        <w:rPr>
          <w:lang w:val="en-GB"/>
        </w:rPr>
        <w:t>Household savings could have been a</w:t>
      </w:r>
      <w:r w:rsidR="00A77738">
        <w:rPr>
          <w:lang w:val="en-GB"/>
        </w:rPr>
        <w:t>nother possible</w:t>
      </w:r>
      <w:r w:rsidR="00CB3834">
        <w:rPr>
          <w:lang w:val="en-GB"/>
        </w:rPr>
        <w:t xml:space="preserve"> welfare-related aspect </w:t>
      </w:r>
      <w:r w:rsidR="00A77738">
        <w:rPr>
          <w:lang w:val="en-GB"/>
        </w:rPr>
        <w:t>to assess. However, the general savings rate in Eswatini is low</w:t>
      </w:r>
      <w:r w:rsidR="00474280" w:rsidRPr="00474280">
        <w:rPr>
          <w:vertAlign w:val="superscript"/>
        </w:rPr>
        <w:t>26</w:t>
      </w:r>
      <w:r w:rsidR="00CB3834">
        <w:rPr>
          <w:lang w:val="en-GB"/>
        </w:rPr>
        <w:t xml:space="preserve"> </w:t>
      </w:r>
      <w:r w:rsidR="008B6E35">
        <w:rPr>
          <w:lang w:val="en-GB"/>
        </w:rPr>
        <w:t xml:space="preserve">and savings are often </w:t>
      </w:r>
      <w:r w:rsidR="001157AD">
        <w:rPr>
          <w:lang w:val="en-GB"/>
        </w:rPr>
        <w:t xml:space="preserve">mainly used to smooth </w:t>
      </w:r>
      <w:r w:rsidR="0093311A">
        <w:rPr>
          <w:lang w:val="en-GB"/>
        </w:rPr>
        <w:t xml:space="preserve">consumption, and thus likely </w:t>
      </w:r>
      <w:r w:rsidR="00BA55DE">
        <w:rPr>
          <w:lang w:val="en-GB"/>
        </w:rPr>
        <w:t>highly correlated</w:t>
      </w:r>
      <w:r w:rsidR="0093311A">
        <w:rPr>
          <w:lang w:val="en-GB"/>
        </w:rPr>
        <w:t xml:space="preserve"> with </w:t>
      </w:r>
      <w:r w:rsidR="008B5BA3">
        <w:rPr>
          <w:lang w:val="en-GB"/>
        </w:rPr>
        <w:t xml:space="preserve">overall household </w:t>
      </w:r>
      <w:r w:rsidR="0093311A">
        <w:rPr>
          <w:lang w:val="en-GB"/>
        </w:rPr>
        <w:t xml:space="preserve">expenditures. </w:t>
      </w:r>
      <w:r w:rsidR="00D81A2D">
        <w:rPr>
          <w:lang w:val="en-GB"/>
        </w:rPr>
        <w:t>Second</w:t>
      </w:r>
      <w:r w:rsidR="001742B3">
        <w:rPr>
          <w:lang w:val="en-GB"/>
        </w:rPr>
        <w:t>, we have collected very detailed information on patients’ time use</w:t>
      </w:r>
      <w:r w:rsidR="003632DC">
        <w:rPr>
          <w:lang w:val="en-GB"/>
        </w:rPr>
        <w:t xml:space="preserve">. Time use is </w:t>
      </w:r>
      <w:r w:rsidR="001742B3">
        <w:rPr>
          <w:lang w:val="en-GB"/>
        </w:rPr>
        <w:t xml:space="preserve">a measure that is </w:t>
      </w:r>
      <w:r w:rsidR="000078BA">
        <w:rPr>
          <w:lang w:val="en-GB"/>
        </w:rPr>
        <w:t xml:space="preserve">presumably </w:t>
      </w:r>
      <w:r w:rsidR="00735F16">
        <w:rPr>
          <w:lang w:val="en-GB"/>
        </w:rPr>
        <w:t xml:space="preserve">highly </w:t>
      </w:r>
      <w:r w:rsidR="001742B3">
        <w:rPr>
          <w:lang w:val="en-GB"/>
        </w:rPr>
        <w:t xml:space="preserve">sensitive to </w:t>
      </w:r>
      <w:r w:rsidR="000C20A7">
        <w:rPr>
          <w:lang w:val="en-GB"/>
        </w:rPr>
        <w:t xml:space="preserve">potential </w:t>
      </w:r>
      <w:r w:rsidR="001742B3">
        <w:rPr>
          <w:lang w:val="en-GB"/>
        </w:rPr>
        <w:t>short-term changes in economic productivity</w:t>
      </w:r>
      <w:r w:rsidR="008D3F05">
        <w:rPr>
          <w:lang w:val="en-GB"/>
        </w:rPr>
        <w:t xml:space="preserve"> and</w:t>
      </w:r>
      <w:r w:rsidR="003632DC">
        <w:rPr>
          <w:lang w:val="en-GB"/>
        </w:rPr>
        <w:t xml:space="preserve">, given that we asked about the previous 24 hours, </w:t>
      </w:r>
      <w:r w:rsidR="008D3F05">
        <w:rPr>
          <w:lang w:val="en-GB"/>
        </w:rPr>
        <w:t>less prone to measurement error</w:t>
      </w:r>
      <w:r w:rsidR="00A0351B">
        <w:rPr>
          <w:lang w:val="en-GB"/>
        </w:rPr>
        <w:t xml:space="preserve"> </w:t>
      </w:r>
      <w:r w:rsidR="003632DC">
        <w:rPr>
          <w:lang w:val="en-GB"/>
        </w:rPr>
        <w:t xml:space="preserve">or bias from a long recall period. </w:t>
      </w:r>
      <w:r w:rsidR="00454DD7">
        <w:rPr>
          <w:lang w:val="en-GB"/>
        </w:rPr>
        <w:t xml:space="preserve">In view of the </w:t>
      </w:r>
      <w:r w:rsidR="00A0351B">
        <w:rPr>
          <w:lang w:val="en-GB"/>
        </w:rPr>
        <w:t xml:space="preserve">precise null effects </w:t>
      </w:r>
      <w:r w:rsidR="00454DD7">
        <w:rPr>
          <w:lang w:val="en-GB"/>
        </w:rPr>
        <w:t>for</w:t>
      </w:r>
      <w:r w:rsidR="00A0351B">
        <w:rPr>
          <w:lang w:val="en-GB"/>
        </w:rPr>
        <w:t xml:space="preserve"> </w:t>
      </w:r>
      <w:r w:rsidR="009D441C">
        <w:rPr>
          <w:lang w:val="en-GB"/>
        </w:rPr>
        <w:t>the</w:t>
      </w:r>
      <w:r w:rsidR="00A0351B">
        <w:rPr>
          <w:lang w:val="en-GB"/>
        </w:rPr>
        <w:t xml:space="preserve"> time use</w:t>
      </w:r>
      <w:r w:rsidR="009D441C">
        <w:rPr>
          <w:lang w:val="en-GB"/>
        </w:rPr>
        <w:t xml:space="preserve"> outcome</w:t>
      </w:r>
      <w:r w:rsidR="00454DD7">
        <w:rPr>
          <w:lang w:val="en-GB"/>
        </w:rPr>
        <w:t xml:space="preserve">, </w:t>
      </w:r>
      <w:r w:rsidR="00AB5A80">
        <w:rPr>
          <w:lang w:val="en-GB"/>
        </w:rPr>
        <w:t>we can more confidently conclude that immediate ART initiation ha</w:t>
      </w:r>
      <w:r w:rsidR="009D441C">
        <w:rPr>
          <w:lang w:val="en-GB"/>
        </w:rPr>
        <w:t>d</w:t>
      </w:r>
      <w:r w:rsidR="00AB5A80">
        <w:rPr>
          <w:lang w:val="en-GB"/>
        </w:rPr>
        <w:t xml:space="preserve"> no harmful effects on</w:t>
      </w:r>
      <w:r w:rsidR="004046C2">
        <w:rPr>
          <w:lang w:val="en-GB"/>
        </w:rPr>
        <w:t xml:space="preserve"> </w:t>
      </w:r>
      <w:r w:rsidR="00E87CCB">
        <w:rPr>
          <w:lang w:val="en-GB"/>
        </w:rPr>
        <w:t xml:space="preserve">patients’ </w:t>
      </w:r>
      <w:r w:rsidR="00AB5A80">
        <w:rPr>
          <w:lang w:val="en-GB"/>
        </w:rPr>
        <w:t xml:space="preserve">overall productivity levels. </w:t>
      </w:r>
      <w:r w:rsidR="00606604">
        <w:rPr>
          <w:lang w:val="en-GB"/>
        </w:rPr>
        <w:t>Third, and arguably m</w:t>
      </w:r>
      <w:r w:rsidR="00D81A2D">
        <w:rPr>
          <w:lang w:val="en-GB"/>
        </w:rPr>
        <w:t>ost importantly, t</w:t>
      </w:r>
      <w:r w:rsidR="00D81A2D" w:rsidRPr="004F036B">
        <w:rPr>
          <w:color w:val="000000"/>
          <w:lang w:val="en-GB"/>
        </w:rPr>
        <w:t xml:space="preserve">his is the first randomised study - and thus the first </w:t>
      </w:r>
      <w:r w:rsidR="00606604">
        <w:rPr>
          <w:color w:val="000000"/>
          <w:lang w:val="en-GB"/>
        </w:rPr>
        <w:t xml:space="preserve">study </w:t>
      </w:r>
      <w:r w:rsidR="00D81A2D" w:rsidRPr="004F036B">
        <w:rPr>
          <w:color w:val="000000"/>
          <w:lang w:val="en-GB"/>
        </w:rPr>
        <w:t>to allow for causal inference</w:t>
      </w:r>
      <w:r w:rsidR="00606604">
        <w:rPr>
          <w:color w:val="000000"/>
          <w:lang w:val="en-GB"/>
        </w:rPr>
        <w:t xml:space="preserve"> under no untestable assumptions</w:t>
      </w:r>
      <w:r w:rsidR="00D81A2D" w:rsidRPr="004F036B">
        <w:rPr>
          <w:color w:val="000000"/>
          <w:lang w:val="en-GB"/>
        </w:rPr>
        <w:t xml:space="preserve"> – o</w:t>
      </w:r>
      <w:r w:rsidR="00606604">
        <w:rPr>
          <w:color w:val="000000"/>
          <w:lang w:val="en-GB"/>
        </w:rPr>
        <w:t>f</w:t>
      </w:r>
      <w:r w:rsidR="00D81A2D" w:rsidRPr="004F036B">
        <w:rPr>
          <w:color w:val="000000"/>
          <w:lang w:val="en-GB"/>
        </w:rPr>
        <w:t xml:space="preserve"> the impact of immediate ART initiation on indicators of patients’ economic welfare. </w:t>
      </w:r>
    </w:p>
    <w:p w14:paraId="6423FE02" w14:textId="77777777" w:rsidR="00E36449" w:rsidRPr="004F036B" w:rsidRDefault="00E36449" w:rsidP="00FD7308">
      <w:pPr>
        <w:spacing w:line="480" w:lineRule="auto"/>
        <w:jc w:val="both"/>
      </w:pPr>
    </w:p>
    <w:p w14:paraId="238FDF78" w14:textId="5CB456FA" w:rsidR="00260E63" w:rsidRDefault="00C469ED" w:rsidP="00FD7308">
      <w:pPr>
        <w:tabs>
          <w:tab w:val="left" w:pos="3261"/>
        </w:tabs>
        <w:spacing w:line="480" w:lineRule="auto"/>
        <w:jc w:val="both"/>
      </w:pPr>
      <w:r>
        <w:t xml:space="preserve">This study has </w:t>
      </w:r>
      <w:r w:rsidR="00130562">
        <w:t>six</w:t>
      </w:r>
      <w:r w:rsidR="00BD5D94">
        <w:t xml:space="preserve"> </w:t>
      </w:r>
      <w:r>
        <w:t>main limitations</w:t>
      </w:r>
      <w:r w:rsidR="001C6009" w:rsidRPr="004F036B">
        <w:t>. First, biological data on patients</w:t>
      </w:r>
      <w:r w:rsidR="00C13EA1" w:rsidRPr="004F036B">
        <w:t xml:space="preserve">’ </w:t>
      </w:r>
      <w:r w:rsidR="001C6009" w:rsidRPr="004F036B">
        <w:t>CD4 count levels and viral load were not collected</w:t>
      </w:r>
      <w:r w:rsidR="007E0C57">
        <w:t>. I</w:t>
      </w:r>
      <w:r w:rsidR="001C6009" w:rsidRPr="004F036B">
        <w:t xml:space="preserve">t was thus not possible to assess whether </w:t>
      </w:r>
      <w:r w:rsidR="003912C1">
        <w:t xml:space="preserve">the effects of EAAA </w:t>
      </w:r>
      <w:r w:rsidR="003912C1">
        <w:lastRenderedPageBreak/>
        <w:t xml:space="preserve">on patients’ economic outcomes </w:t>
      </w:r>
      <w:r w:rsidR="00A677B8">
        <w:t xml:space="preserve">were different among those patients who had a CD4 count close to the treatment threshold at the time of ART initiation. </w:t>
      </w:r>
      <w:bookmarkStart w:id="11" w:name="_Hlk47012420"/>
      <w:r w:rsidR="009A619C" w:rsidRPr="004F036B">
        <w:rPr>
          <w:lang w:val="en-GB"/>
        </w:rPr>
        <w:t>Second,</w:t>
      </w:r>
      <w:r w:rsidR="007A2542">
        <w:rPr>
          <w:lang w:val="en-GB"/>
        </w:rPr>
        <w:t xml:space="preserve"> participant</w:t>
      </w:r>
      <w:r w:rsidR="009A619C" w:rsidRPr="004F036B">
        <w:rPr>
          <w:lang w:val="en-GB"/>
        </w:rPr>
        <w:t xml:space="preserve"> </w:t>
      </w:r>
      <w:r w:rsidR="007A2542">
        <w:rPr>
          <w:lang w:val="en-GB"/>
        </w:rPr>
        <w:t xml:space="preserve">recruitment was </w:t>
      </w:r>
      <w:r w:rsidR="00130562">
        <w:rPr>
          <w:lang w:val="en-GB"/>
        </w:rPr>
        <w:t>implemented within</w:t>
      </w:r>
      <w:r w:rsidR="007A2542">
        <w:rPr>
          <w:lang w:val="en-GB"/>
        </w:rPr>
        <w:t xml:space="preserve"> healthcare facilit</w:t>
      </w:r>
      <w:r w:rsidR="00130562">
        <w:rPr>
          <w:lang w:val="en-GB"/>
        </w:rPr>
        <w:t>ies</w:t>
      </w:r>
      <w:r w:rsidR="007A2542">
        <w:rPr>
          <w:lang w:val="en-GB"/>
        </w:rPr>
        <w:t xml:space="preserve"> and it is therefore possible that patients who generally attend healthcare services more regularly and reliably are overrepresented in the study sample. </w:t>
      </w:r>
      <w:bookmarkEnd w:id="11"/>
      <w:r w:rsidR="007A2542">
        <w:rPr>
          <w:lang w:val="en-GB"/>
        </w:rPr>
        <w:t>Third,</w:t>
      </w:r>
      <w:r w:rsidR="00130562">
        <w:rPr>
          <w:lang w:val="en-GB"/>
        </w:rPr>
        <w:t xml:space="preserve"> </w:t>
      </w:r>
      <w:r w:rsidR="00702CD9">
        <w:rPr>
          <w:lang w:val="en-GB"/>
        </w:rPr>
        <w:t xml:space="preserve">participants were not followed-up on longitudinally, which implies that </w:t>
      </w:r>
      <w:r w:rsidR="00580316">
        <w:rPr>
          <w:lang w:val="en-GB"/>
        </w:rPr>
        <w:t>for each individual, we</w:t>
      </w:r>
      <w:r w:rsidR="00702CD9">
        <w:rPr>
          <w:lang w:val="en-GB"/>
        </w:rPr>
        <w:t xml:space="preserve"> either have a measure</w:t>
      </w:r>
      <w:r w:rsidR="00580316">
        <w:rPr>
          <w:lang w:val="en-GB"/>
        </w:rPr>
        <w:t>ment of the pre- or the post-intervention phase</w:t>
      </w:r>
      <w:r w:rsidR="00702CD9">
        <w:rPr>
          <w:lang w:val="en-GB"/>
        </w:rPr>
        <w:t xml:space="preserve"> (but n</w:t>
      </w:r>
      <w:r w:rsidR="00580316">
        <w:rPr>
          <w:lang w:val="en-GB"/>
        </w:rPr>
        <w:t>ever</w:t>
      </w:r>
      <w:r w:rsidR="00702CD9">
        <w:rPr>
          <w:lang w:val="en-GB"/>
        </w:rPr>
        <w:t xml:space="preserve"> </w:t>
      </w:r>
      <w:r w:rsidR="00A4165B">
        <w:rPr>
          <w:lang w:val="en-GB"/>
        </w:rPr>
        <w:t xml:space="preserve">for </w:t>
      </w:r>
      <w:r w:rsidR="00702CD9">
        <w:rPr>
          <w:lang w:val="en-GB"/>
        </w:rPr>
        <w:t xml:space="preserve">both). </w:t>
      </w:r>
      <w:r w:rsidR="00580316">
        <w:rPr>
          <w:lang w:val="en-GB"/>
        </w:rPr>
        <w:t>Our</w:t>
      </w:r>
      <w:r w:rsidR="00702CD9">
        <w:rPr>
          <w:lang w:val="en-GB"/>
        </w:rPr>
        <w:t xml:space="preserve"> effect estimates </w:t>
      </w:r>
      <w:r w:rsidR="00580316">
        <w:rPr>
          <w:lang w:val="en-GB"/>
        </w:rPr>
        <w:t>are</w:t>
      </w:r>
      <w:r w:rsidR="00702CD9">
        <w:rPr>
          <w:lang w:val="en-GB"/>
        </w:rPr>
        <w:t xml:space="preserve"> </w:t>
      </w:r>
      <w:r w:rsidR="00580316">
        <w:rPr>
          <w:lang w:val="en-GB"/>
        </w:rPr>
        <w:t xml:space="preserve">based on the comparison of patients in the standard of care phase with patients in the EAAA phase, and would turn invalid if there was </w:t>
      </w:r>
      <w:r w:rsidR="00003E8F">
        <w:rPr>
          <w:lang w:val="en-GB"/>
        </w:rPr>
        <w:t>significant</w:t>
      </w:r>
      <w:r w:rsidR="00580316">
        <w:rPr>
          <w:lang w:val="en-GB"/>
        </w:rPr>
        <w:t xml:space="preserve"> imbalance in baseline characteristics between these two groups. However, this is unlikely </w:t>
      </w:r>
      <w:r w:rsidR="00BE0180">
        <w:rPr>
          <w:lang w:val="en-GB"/>
        </w:rPr>
        <w:t>in view of the sufficiently large sample</w:t>
      </w:r>
      <w:r w:rsidR="00003E8F">
        <w:rPr>
          <w:lang w:val="en-GB"/>
        </w:rPr>
        <w:t xml:space="preserve"> size</w:t>
      </w:r>
      <w:r w:rsidR="00BE0180">
        <w:rPr>
          <w:lang w:val="en-GB"/>
        </w:rPr>
        <w:t xml:space="preserve"> and</w:t>
      </w:r>
      <w:r w:rsidR="00003E8F">
        <w:rPr>
          <w:lang w:val="en-GB"/>
        </w:rPr>
        <w:t xml:space="preserve"> the</w:t>
      </w:r>
      <w:r w:rsidR="00BE0180">
        <w:rPr>
          <w:lang w:val="en-GB"/>
        </w:rPr>
        <w:t xml:space="preserve"> random selection of interview dates for each facility. </w:t>
      </w:r>
      <w:r w:rsidR="00130562">
        <w:rPr>
          <w:lang w:val="en-GB"/>
        </w:rPr>
        <w:t>Fourth,</w:t>
      </w:r>
      <w:r w:rsidR="007A2542" w:rsidRPr="004F036B">
        <w:rPr>
          <w:lang w:val="en-GB"/>
        </w:rPr>
        <w:t xml:space="preserve"> </w:t>
      </w:r>
      <w:r w:rsidR="007F68E5" w:rsidRPr="004F036B">
        <w:rPr>
          <w:lang w:val="en-GB"/>
        </w:rPr>
        <w:t>data on household expenditures and household living standards were only collected from a</w:t>
      </w:r>
      <w:r w:rsidR="007E0C57">
        <w:rPr>
          <w:lang w:val="en-GB"/>
        </w:rPr>
        <w:t xml:space="preserve"> random</w:t>
      </w:r>
      <w:r w:rsidR="007F68E5" w:rsidRPr="004F036B">
        <w:rPr>
          <w:lang w:val="en-GB"/>
        </w:rPr>
        <w:t xml:space="preserve"> subsample of</w:t>
      </w:r>
      <w:r w:rsidR="004046C2">
        <w:rPr>
          <w:lang w:val="en-GB"/>
        </w:rPr>
        <w:t xml:space="preserve"> </w:t>
      </w:r>
      <w:r w:rsidR="004046C2" w:rsidRPr="004F036B">
        <w:rPr>
          <w:lang w:val="en-GB"/>
        </w:rPr>
        <w:t>50%</w:t>
      </w:r>
      <w:r w:rsidR="004046C2">
        <w:rPr>
          <w:lang w:val="en-GB"/>
        </w:rPr>
        <w:t xml:space="preserve"> of</w:t>
      </w:r>
      <w:r w:rsidR="007F68E5" w:rsidRPr="004F036B">
        <w:rPr>
          <w:lang w:val="en-GB"/>
        </w:rPr>
        <w:t xml:space="preserve"> patients</w:t>
      </w:r>
      <w:r w:rsidR="007E0C57">
        <w:rPr>
          <w:lang w:val="en-GB"/>
        </w:rPr>
        <w:t xml:space="preserve">. </w:t>
      </w:r>
      <w:r w:rsidR="00DC13F6">
        <w:rPr>
          <w:lang w:val="en-GB"/>
        </w:rPr>
        <w:t>G</w:t>
      </w:r>
      <w:r w:rsidR="00077A70">
        <w:rPr>
          <w:lang w:val="en-GB"/>
        </w:rPr>
        <w:t>iven the wide confidence interval of the effect estimate</w:t>
      </w:r>
      <w:r w:rsidR="00A70A94">
        <w:rPr>
          <w:lang w:val="en-GB"/>
        </w:rPr>
        <w:t>s for household expenditures and household living standards</w:t>
      </w:r>
      <w:r w:rsidR="00077A70">
        <w:rPr>
          <w:lang w:val="en-GB"/>
        </w:rPr>
        <w:t>, it is</w:t>
      </w:r>
      <w:r w:rsidR="00FA5ABB">
        <w:rPr>
          <w:lang w:val="en-GB"/>
        </w:rPr>
        <w:t xml:space="preserve"> </w:t>
      </w:r>
      <w:r w:rsidR="00077A70" w:rsidRPr="004F036B">
        <w:rPr>
          <w:lang w:val="en-GB"/>
        </w:rPr>
        <w:t xml:space="preserve">possible that we would have been able to find a significant effect </w:t>
      </w:r>
      <w:r w:rsidR="000E27FD">
        <w:rPr>
          <w:lang w:val="en-GB"/>
        </w:rPr>
        <w:t xml:space="preserve">for these two outcomes </w:t>
      </w:r>
      <w:r w:rsidR="00A70A94">
        <w:rPr>
          <w:lang w:val="en-GB"/>
        </w:rPr>
        <w:t xml:space="preserve">of a size that would still be meaningful to health policy makers </w:t>
      </w:r>
      <w:r w:rsidR="00077A70" w:rsidRPr="004F036B">
        <w:rPr>
          <w:lang w:val="en-GB"/>
        </w:rPr>
        <w:t xml:space="preserve">if we had had a larger sample size. </w:t>
      </w:r>
      <w:bookmarkStart w:id="12" w:name="_Hlk47440116"/>
      <w:r w:rsidR="007A2542">
        <w:rPr>
          <w:lang w:val="en-GB"/>
        </w:rPr>
        <w:t>F</w:t>
      </w:r>
      <w:r w:rsidR="00130562">
        <w:rPr>
          <w:lang w:val="en-GB"/>
        </w:rPr>
        <w:t>ifth</w:t>
      </w:r>
      <w:r w:rsidR="007F68E5" w:rsidRPr="004F036B">
        <w:rPr>
          <w:lang w:val="en-GB"/>
        </w:rPr>
        <w:t xml:space="preserve">, </w:t>
      </w:r>
      <w:r w:rsidR="009A619C" w:rsidRPr="004F036B">
        <w:rPr>
          <w:lang w:val="en-GB"/>
        </w:rPr>
        <w:t>data was based on patient</w:t>
      </w:r>
      <w:r w:rsidR="007F68E5" w:rsidRPr="004F036B">
        <w:rPr>
          <w:lang w:val="en-GB"/>
        </w:rPr>
        <w:t>s’</w:t>
      </w:r>
      <w:r w:rsidR="009A619C" w:rsidRPr="004F036B">
        <w:rPr>
          <w:lang w:val="en-GB"/>
        </w:rPr>
        <w:t xml:space="preserve"> self-report</w:t>
      </w:r>
      <w:r w:rsidR="000E27FD">
        <w:rPr>
          <w:lang w:val="en-GB"/>
        </w:rPr>
        <w:t xml:space="preserve">. Especially </w:t>
      </w:r>
      <w:r w:rsidR="00ED0003">
        <w:rPr>
          <w:lang w:val="en-GB"/>
        </w:rPr>
        <w:t>with regards to</w:t>
      </w:r>
      <w:r w:rsidR="000E27FD">
        <w:rPr>
          <w:lang w:val="en-GB"/>
        </w:rPr>
        <w:t xml:space="preserve"> </w:t>
      </w:r>
      <w:r w:rsidR="00CD21BD" w:rsidRPr="004F036B">
        <w:rPr>
          <w:lang w:val="en-GB"/>
        </w:rPr>
        <w:t>household expenditure</w:t>
      </w:r>
      <w:r w:rsidR="000E27FD">
        <w:rPr>
          <w:lang w:val="en-GB"/>
        </w:rPr>
        <w:t>s</w:t>
      </w:r>
      <w:r w:rsidR="00ED0003">
        <w:rPr>
          <w:lang w:val="en-GB"/>
        </w:rPr>
        <w:t xml:space="preserve"> and time use</w:t>
      </w:r>
      <w:r w:rsidR="000E27FD">
        <w:rPr>
          <w:lang w:val="en-GB"/>
        </w:rPr>
        <w:t>, this limitation is likely to have led to some</w:t>
      </w:r>
      <w:r w:rsidR="009A619C" w:rsidRPr="004F036B">
        <w:rPr>
          <w:lang w:val="en-GB"/>
        </w:rPr>
        <w:t xml:space="preserve"> </w:t>
      </w:r>
      <w:r w:rsidR="000E27FD">
        <w:rPr>
          <w:lang w:val="en-GB"/>
        </w:rPr>
        <w:t xml:space="preserve">degree of measurement error </w:t>
      </w:r>
      <w:r w:rsidR="00ED0003">
        <w:rPr>
          <w:lang w:val="en-GB"/>
        </w:rPr>
        <w:t>due to recall</w:t>
      </w:r>
      <w:r w:rsidR="00C20027">
        <w:rPr>
          <w:lang w:val="en-GB"/>
        </w:rPr>
        <w:t xml:space="preserve"> problems</w:t>
      </w:r>
      <w:r w:rsidR="00773372" w:rsidRPr="004F036B">
        <w:rPr>
          <w:lang w:val="en-GB"/>
        </w:rPr>
        <w:t>.</w:t>
      </w:r>
      <w:r w:rsidR="00474280" w:rsidRPr="00474280">
        <w:rPr>
          <w:vertAlign w:val="superscript"/>
        </w:rPr>
        <w:t>27,28</w:t>
      </w:r>
      <w:r w:rsidR="004A57EE" w:rsidRPr="004F036B">
        <w:rPr>
          <w:lang w:val="en-GB"/>
        </w:rPr>
        <w:t xml:space="preserve"> </w:t>
      </w:r>
      <w:r w:rsidR="009C0007">
        <w:rPr>
          <w:lang w:val="en-GB"/>
        </w:rPr>
        <w:t>In addition, while m</w:t>
      </w:r>
      <w:r w:rsidR="004A57EE" w:rsidRPr="004F036B">
        <w:rPr>
          <w:lang w:val="en-GB"/>
        </w:rPr>
        <w:t>onthly expenses were summarised into 20 distinct expenditure categories to reduce interview length and cost</w:t>
      </w:r>
      <w:r w:rsidR="009A50A8" w:rsidRPr="004F036B">
        <w:rPr>
          <w:lang w:val="en-GB"/>
        </w:rPr>
        <w:t>,</w:t>
      </w:r>
      <w:r w:rsidR="004A57EE" w:rsidRPr="004F036B">
        <w:rPr>
          <w:lang w:val="en-GB"/>
        </w:rPr>
        <w:t xml:space="preserve"> </w:t>
      </w:r>
      <w:r w:rsidR="009C0007">
        <w:rPr>
          <w:lang w:val="en-GB"/>
        </w:rPr>
        <w:t>this</w:t>
      </w:r>
      <w:r w:rsidR="009C0007" w:rsidRPr="004F036B">
        <w:rPr>
          <w:lang w:val="en-GB"/>
        </w:rPr>
        <w:t xml:space="preserve"> </w:t>
      </w:r>
      <w:r w:rsidR="004A57EE" w:rsidRPr="004F036B">
        <w:rPr>
          <w:lang w:val="en-GB"/>
        </w:rPr>
        <w:t>may have led to further measurement imprecisions, for instance through adding up</w:t>
      </w:r>
      <w:r w:rsidR="00E3090D" w:rsidRPr="004F036B">
        <w:rPr>
          <w:lang w:val="en-GB"/>
        </w:rPr>
        <w:t xml:space="preserve"> expenses for </w:t>
      </w:r>
      <w:r w:rsidR="0025394E" w:rsidRPr="004F036B">
        <w:rPr>
          <w:lang w:val="en-GB"/>
        </w:rPr>
        <w:t>numerous</w:t>
      </w:r>
      <w:r w:rsidR="004A57EE" w:rsidRPr="004F036B">
        <w:rPr>
          <w:lang w:val="en-GB"/>
        </w:rPr>
        <w:t xml:space="preserve"> </w:t>
      </w:r>
      <w:r w:rsidR="00E3090D" w:rsidRPr="004F036B">
        <w:rPr>
          <w:lang w:val="en-GB"/>
        </w:rPr>
        <w:t xml:space="preserve">individual food </w:t>
      </w:r>
      <w:r w:rsidR="000772BE" w:rsidRPr="004F036B">
        <w:rPr>
          <w:lang w:val="en-GB"/>
        </w:rPr>
        <w:t xml:space="preserve">items </w:t>
      </w:r>
      <w:r w:rsidR="004A57EE" w:rsidRPr="004F036B">
        <w:rPr>
          <w:lang w:val="en-GB"/>
        </w:rPr>
        <w:t xml:space="preserve">into an overall category </w:t>
      </w:r>
      <w:r w:rsidR="00923D97" w:rsidRPr="004F036B">
        <w:rPr>
          <w:lang w:val="en-GB"/>
        </w:rPr>
        <w:t>of</w:t>
      </w:r>
      <w:r w:rsidR="004A57EE" w:rsidRPr="004F036B">
        <w:rPr>
          <w:lang w:val="en-GB"/>
        </w:rPr>
        <w:t xml:space="preserve"> “total shopping for food and groceries”.</w:t>
      </w:r>
      <w:r w:rsidR="00DC57D3" w:rsidRPr="004F036B">
        <w:rPr>
          <w:lang w:val="en-GB"/>
        </w:rPr>
        <w:t xml:space="preserve"> Yet, </w:t>
      </w:r>
      <w:r w:rsidR="009C0007">
        <w:rPr>
          <w:lang w:val="en-GB"/>
        </w:rPr>
        <w:t xml:space="preserve">we </w:t>
      </w:r>
      <w:r w:rsidR="00E72D72">
        <w:rPr>
          <w:lang w:val="en-GB"/>
        </w:rPr>
        <w:t xml:space="preserve">expect that </w:t>
      </w:r>
      <w:r w:rsidR="00DC57D3" w:rsidRPr="004F036B">
        <w:rPr>
          <w:lang w:val="en-GB"/>
        </w:rPr>
        <w:t xml:space="preserve"> these measurement errors </w:t>
      </w:r>
      <w:r w:rsidR="000E27FD">
        <w:rPr>
          <w:lang w:val="en-GB"/>
        </w:rPr>
        <w:t xml:space="preserve">and reporting </w:t>
      </w:r>
      <w:r w:rsidR="000E27FD">
        <w:rPr>
          <w:lang w:val="en-GB"/>
        </w:rPr>
        <w:lastRenderedPageBreak/>
        <w:t>biases occurred</w:t>
      </w:r>
      <w:r w:rsidR="00F73CBC">
        <w:rPr>
          <w:lang w:val="en-GB"/>
        </w:rPr>
        <w:t xml:space="preserve"> – </w:t>
      </w:r>
      <w:r w:rsidR="00E72D72">
        <w:rPr>
          <w:lang w:val="en-GB"/>
        </w:rPr>
        <w:t>on</w:t>
      </w:r>
      <w:r w:rsidR="00F73CBC">
        <w:rPr>
          <w:lang w:val="en-GB"/>
        </w:rPr>
        <w:t xml:space="preserve"> average – </w:t>
      </w:r>
      <w:r w:rsidR="000E27FD">
        <w:rPr>
          <w:lang w:val="en-GB"/>
        </w:rPr>
        <w:t>to an equal degree</w:t>
      </w:r>
      <w:r w:rsidR="001E5F0E" w:rsidRPr="004F036B">
        <w:rPr>
          <w:lang w:val="en-GB"/>
        </w:rPr>
        <w:t xml:space="preserve"> in the EAAA  and standard</w:t>
      </w:r>
      <w:r w:rsidR="00793FC1">
        <w:rPr>
          <w:lang w:val="en-GB"/>
        </w:rPr>
        <w:t xml:space="preserve"> </w:t>
      </w:r>
      <w:r w:rsidR="001E5F0E" w:rsidRPr="004F036B">
        <w:rPr>
          <w:lang w:val="en-GB"/>
        </w:rPr>
        <w:t>of</w:t>
      </w:r>
      <w:r w:rsidR="00793FC1">
        <w:rPr>
          <w:lang w:val="en-GB"/>
        </w:rPr>
        <w:t xml:space="preserve"> </w:t>
      </w:r>
      <w:r w:rsidR="001E5F0E" w:rsidRPr="004F036B">
        <w:rPr>
          <w:lang w:val="en-GB"/>
        </w:rPr>
        <w:t>care group</w:t>
      </w:r>
      <w:r w:rsidR="00F73CBC">
        <w:rPr>
          <w:lang w:val="en-GB"/>
        </w:rPr>
        <w:t xml:space="preserve"> and are therefore unlikely to </w:t>
      </w:r>
      <w:r w:rsidR="001223DB">
        <w:rPr>
          <w:lang w:val="en-GB"/>
        </w:rPr>
        <w:t xml:space="preserve">systematically </w:t>
      </w:r>
      <w:r w:rsidR="00F73CBC">
        <w:rPr>
          <w:lang w:val="en-GB"/>
        </w:rPr>
        <w:t>bias</w:t>
      </w:r>
      <w:r w:rsidR="001E5F0E" w:rsidRPr="004F036B">
        <w:rPr>
          <w:lang w:val="en-GB"/>
        </w:rPr>
        <w:t xml:space="preserve"> </w:t>
      </w:r>
      <w:r w:rsidR="00556E13">
        <w:rPr>
          <w:lang w:val="en-GB"/>
        </w:rPr>
        <w:t xml:space="preserve">our point estimates </w:t>
      </w:r>
      <w:r w:rsidR="00F73CBC">
        <w:rPr>
          <w:lang w:val="en-GB"/>
        </w:rPr>
        <w:t>of the causal</w:t>
      </w:r>
      <w:r w:rsidR="001E5F0E" w:rsidRPr="004F036B">
        <w:rPr>
          <w:lang w:val="en-GB"/>
        </w:rPr>
        <w:t xml:space="preserve"> intervention</w:t>
      </w:r>
      <w:r w:rsidR="00F73CBC">
        <w:rPr>
          <w:lang w:val="en-GB"/>
        </w:rPr>
        <w:t xml:space="preserve"> effec</w:t>
      </w:r>
      <w:r w:rsidR="00EF5E3F">
        <w:rPr>
          <w:lang w:val="en-GB"/>
        </w:rPr>
        <w:t xml:space="preserve">t. </w:t>
      </w:r>
      <w:bookmarkStart w:id="13" w:name="_Hlk47964619"/>
      <w:r w:rsidR="001233EC">
        <w:rPr>
          <w:lang w:val="en-GB"/>
        </w:rPr>
        <w:t xml:space="preserve">Lastly, </w:t>
      </w:r>
      <w:r w:rsidR="00DF202C">
        <w:rPr>
          <w:lang w:val="en-GB"/>
        </w:rPr>
        <w:t>the employment rate in our study sample diverged from the national employment rate during the same period. This discrepancy could be explained by (</w:t>
      </w:r>
      <w:proofErr w:type="spellStart"/>
      <w:r w:rsidR="00DF202C">
        <w:rPr>
          <w:lang w:val="en-GB"/>
        </w:rPr>
        <w:t>i</w:t>
      </w:r>
      <w:proofErr w:type="spellEnd"/>
      <w:r w:rsidR="00DF202C">
        <w:rPr>
          <w:lang w:val="en-GB"/>
        </w:rPr>
        <w:t>) the composition of our sample, which consisted of 75% female patients</w:t>
      </w:r>
      <w:r w:rsidR="000433C7">
        <w:rPr>
          <w:lang w:val="en-GB"/>
        </w:rPr>
        <w:t xml:space="preserve"> and is therefore not representative for the </w:t>
      </w:r>
      <w:r w:rsidR="00DC5F13">
        <w:rPr>
          <w:lang w:val="en-GB"/>
        </w:rPr>
        <w:t>population as a whole</w:t>
      </w:r>
      <w:r w:rsidR="00DF202C">
        <w:rPr>
          <w:lang w:val="en-GB"/>
        </w:rPr>
        <w:t xml:space="preserve">, (ii) </w:t>
      </w:r>
      <w:r w:rsidR="00123288">
        <w:rPr>
          <w:lang w:val="en-GB"/>
        </w:rPr>
        <w:t xml:space="preserve">the temporal disaggregation into tertials, which might </w:t>
      </w:r>
      <w:r w:rsidR="00DF202C">
        <w:rPr>
          <w:lang w:val="en-GB"/>
        </w:rPr>
        <w:t>reflect some seasonal fluctuations</w:t>
      </w:r>
      <w:r w:rsidR="00835883">
        <w:rPr>
          <w:lang w:val="en-GB"/>
        </w:rPr>
        <w:t xml:space="preserve"> in our data</w:t>
      </w:r>
      <w:r w:rsidR="00DF202C">
        <w:rPr>
          <w:lang w:val="en-GB"/>
        </w:rPr>
        <w:t xml:space="preserve">, and (iii) the lack of regional </w:t>
      </w:r>
      <w:r w:rsidR="00835883">
        <w:rPr>
          <w:lang w:val="en-GB"/>
        </w:rPr>
        <w:t xml:space="preserve">labour force data </w:t>
      </w:r>
      <w:r w:rsidR="0083410F">
        <w:rPr>
          <w:lang w:val="en-GB"/>
        </w:rPr>
        <w:t>for the general population in</w:t>
      </w:r>
      <w:r w:rsidR="00DF202C">
        <w:rPr>
          <w:lang w:val="en-GB"/>
        </w:rPr>
        <w:t xml:space="preserve"> the </w:t>
      </w:r>
      <w:proofErr w:type="spellStart"/>
      <w:r w:rsidR="00DF202C">
        <w:rPr>
          <w:lang w:val="en-GB"/>
        </w:rPr>
        <w:t>Hh</w:t>
      </w:r>
      <w:r w:rsidR="0083410F">
        <w:rPr>
          <w:lang w:val="en-GB"/>
        </w:rPr>
        <w:t>o</w:t>
      </w:r>
      <w:r w:rsidR="00DF202C">
        <w:rPr>
          <w:lang w:val="en-GB"/>
        </w:rPr>
        <w:t>h</w:t>
      </w:r>
      <w:r w:rsidR="001F60CD">
        <w:rPr>
          <w:lang w:val="en-GB"/>
        </w:rPr>
        <w:t>h</w:t>
      </w:r>
      <w:r w:rsidR="00DF202C">
        <w:rPr>
          <w:lang w:val="en-GB"/>
        </w:rPr>
        <w:t>o</w:t>
      </w:r>
      <w:proofErr w:type="spellEnd"/>
      <w:r w:rsidR="00DF202C">
        <w:rPr>
          <w:lang w:val="en-GB"/>
        </w:rPr>
        <w:t xml:space="preserve"> region</w:t>
      </w:r>
      <w:r w:rsidR="00835883">
        <w:rPr>
          <w:lang w:val="en-GB"/>
        </w:rPr>
        <w:t>,</w:t>
      </w:r>
      <w:r w:rsidR="0083410F">
        <w:rPr>
          <w:lang w:val="en-GB"/>
        </w:rPr>
        <w:t xml:space="preserve"> rather than</w:t>
      </w:r>
      <w:r w:rsidR="00835883">
        <w:rPr>
          <w:lang w:val="en-GB"/>
        </w:rPr>
        <w:t xml:space="preserve"> the aggregated </w:t>
      </w:r>
      <w:r w:rsidR="00DC5F13">
        <w:rPr>
          <w:lang w:val="en-GB"/>
        </w:rPr>
        <w:t xml:space="preserve">national </w:t>
      </w:r>
      <w:r w:rsidR="00835883">
        <w:rPr>
          <w:lang w:val="en-GB"/>
        </w:rPr>
        <w:t>data</w:t>
      </w:r>
      <w:r w:rsidR="0083410F">
        <w:rPr>
          <w:lang w:val="en-GB"/>
        </w:rPr>
        <w:t xml:space="preserve"> </w:t>
      </w:r>
      <w:r w:rsidR="00835883">
        <w:rPr>
          <w:lang w:val="en-GB"/>
        </w:rPr>
        <w:t>that we have used as a reference</w:t>
      </w:r>
      <w:r w:rsidR="00DC5F13">
        <w:rPr>
          <w:lang w:val="en-GB"/>
        </w:rPr>
        <w:t xml:space="preserve">. </w:t>
      </w:r>
      <w:bookmarkEnd w:id="12"/>
      <w:bookmarkEnd w:id="13"/>
    </w:p>
    <w:p w14:paraId="26D02ABA" w14:textId="1B685DD7" w:rsidR="00BF1F6E" w:rsidRDefault="00BF1F6E" w:rsidP="00FD7308">
      <w:pPr>
        <w:tabs>
          <w:tab w:val="left" w:pos="3261"/>
        </w:tabs>
        <w:spacing w:line="480" w:lineRule="auto"/>
        <w:jc w:val="both"/>
      </w:pPr>
    </w:p>
    <w:p w14:paraId="25B21FB6" w14:textId="48376B7A" w:rsidR="00BD107B" w:rsidRDefault="00CB0D27" w:rsidP="00FD7308">
      <w:pPr>
        <w:spacing w:after="160" w:line="480" w:lineRule="auto"/>
        <w:jc w:val="both"/>
        <w:rPr>
          <w:color w:val="000000"/>
          <w:lang w:val="en-GB"/>
        </w:rPr>
      </w:pPr>
      <w:r>
        <w:rPr>
          <w:color w:val="000000"/>
          <w:lang w:val="en-GB"/>
        </w:rPr>
        <w:t xml:space="preserve">This study provides the first causal evidence </w:t>
      </w:r>
      <w:r w:rsidR="007F5152">
        <w:rPr>
          <w:color w:val="000000"/>
          <w:lang w:val="en-GB"/>
        </w:rPr>
        <w:t>on the effect of</w:t>
      </w:r>
      <w:r>
        <w:rPr>
          <w:color w:val="000000"/>
          <w:lang w:val="en-GB"/>
        </w:rPr>
        <w:t xml:space="preserve"> immediate ART initiation </w:t>
      </w:r>
      <w:r w:rsidR="007F5152">
        <w:rPr>
          <w:color w:val="000000"/>
          <w:lang w:val="en-GB"/>
        </w:rPr>
        <w:t xml:space="preserve">on economic outcomes. </w:t>
      </w:r>
      <w:r w:rsidR="007F5152">
        <w:t>EAAA</w:t>
      </w:r>
      <w:r w:rsidR="007F5152" w:rsidDel="007F5152">
        <w:rPr>
          <w:color w:val="000000"/>
          <w:lang w:val="en-GB"/>
        </w:rPr>
        <w:t xml:space="preserve"> </w:t>
      </w:r>
      <w:r w:rsidR="000513B4">
        <w:rPr>
          <w:color w:val="000000"/>
          <w:lang w:val="en-GB"/>
        </w:rPr>
        <w:t>is unlikely to</w:t>
      </w:r>
      <w:r>
        <w:rPr>
          <w:color w:val="000000"/>
          <w:lang w:val="en-GB"/>
        </w:rPr>
        <w:t xml:space="preserve"> have </w:t>
      </w:r>
      <w:r w:rsidR="000513B4">
        <w:rPr>
          <w:color w:val="000000"/>
          <w:lang w:val="en-GB"/>
        </w:rPr>
        <w:t xml:space="preserve">detectable, </w:t>
      </w:r>
      <w:r>
        <w:rPr>
          <w:color w:val="000000"/>
          <w:lang w:val="en-GB"/>
        </w:rPr>
        <w:t>harmful economic repercussions</w:t>
      </w:r>
      <w:r w:rsidR="007F5152">
        <w:rPr>
          <w:color w:val="000000"/>
          <w:lang w:val="en-GB"/>
        </w:rPr>
        <w:t xml:space="preserve"> for HIV patients in Eswatini</w:t>
      </w:r>
      <w:r>
        <w:rPr>
          <w:color w:val="000000"/>
          <w:lang w:val="en-GB"/>
        </w:rPr>
        <w:t xml:space="preserve">. This </w:t>
      </w:r>
      <w:r w:rsidR="00BD107B" w:rsidRPr="004F036B">
        <w:rPr>
          <w:color w:val="000000"/>
          <w:lang w:val="en-GB"/>
        </w:rPr>
        <w:t>is a</w:t>
      </w:r>
      <w:r w:rsidR="00BD107B">
        <w:rPr>
          <w:color w:val="000000"/>
          <w:lang w:val="en-GB"/>
        </w:rPr>
        <w:t xml:space="preserve">n important </w:t>
      </w:r>
      <w:r w:rsidR="00BD107B" w:rsidRPr="004F036B">
        <w:rPr>
          <w:color w:val="000000"/>
          <w:lang w:val="en-GB"/>
        </w:rPr>
        <w:t xml:space="preserve">finding for health policy making in that it buttresses the </w:t>
      </w:r>
      <w:bookmarkStart w:id="14" w:name="_Hlk48077822"/>
      <w:r w:rsidR="00BD107B" w:rsidRPr="004F036B">
        <w:rPr>
          <w:color w:val="000000"/>
          <w:lang w:val="en-GB"/>
        </w:rPr>
        <w:t xml:space="preserve">WHO recommendation to discard eligibility thresholds for ART </w:t>
      </w:r>
      <w:bookmarkEnd w:id="14"/>
      <w:r w:rsidR="00BD107B" w:rsidRPr="004F036B">
        <w:rPr>
          <w:color w:val="000000"/>
          <w:lang w:val="en-GB"/>
        </w:rPr>
        <w:t xml:space="preserve">from </w:t>
      </w:r>
      <w:r w:rsidR="00BD107B">
        <w:rPr>
          <w:color w:val="000000"/>
          <w:lang w:val="en-GB"/>
        </w:rPr>
        <w:t>the perspective of patients’ economic welfare – a perspective that is often ignored in the setting of clinical recommendations, yet important to those who are directly affected by these recommendations</w:t>
      </w:r>
      <w:r w:rsidR="00BF190A">
        <w:rPr>
          <w:color w:val="000000"/>
          <w:lang w:val="en-GB"/>
        </w:rPr>
        <w:t>.</w:t>
      </w:r>
      <w:r w:rsidR="00474280" w:rsidRPr="00474280">
        <w:rPr>
          <w:vertAlign w:val="superscript"/>
        </w:rPr>
        <w:t>29,30</w:t>
      </w:r>
    </w:p>
    <w:p w14:paraId="1412A094" w14:textId="77777777" w:rsidR="00E869CC" w:rsidRDefault="00E869CC" w:rsidP="00FD7308">
      <w:pPr>
        <w:spacing w:after="160" w:line="480" w:lineRule="auto"/>
        <w:jc w:val="both"/>
        <w:rPr>
          <w:color w:val="000000"/>
          <w:lang w:val="en-GB"/>
        </w:rPr>
      </w:pPr>
    </w:p>
    <w:p w14:paraId="04DCF4A8" w14:textId="65807A20" w:rsidR="000F25EF" w:rsidRDefault="000F25EF" w:rsidP="000F25EF">
      <w:pPr>
        <w:autoSpaceDE w:val="0"/>
        <w:autoSpaceDN w:val="0"/>
        <w:adjustRightInd w:val="0"/>
        <w:spacing w:line="480" w:lineRule="auto"/>
        <w:jc w:val="both"/>
        <w:outlineLvl w:val="0"/>
        <w:rPr>
          <w:b/>
          <w:color w:val="000000" w:themeColor="text1"/>
          <w:lang w:val="en-GB"/>
        </w:rPr>
      </w:pPr>
      <w:r>
        <w:rPr>
          <w:b/>
          <w:color w:val="000000" w:themeColor="text1"/>
          <w:lang w:val="en-GB"/>
        </w:rPr>
        <w:t xml:space="preserve">Materials and </w:t>
      </w:r>
      <w:r w:rsidRPr="004F036B">
        <w:rPr>
          <w:b/>
          <w:color w:val="000000" w:themeColor="text1"/>
          <w:lang w:val="en-GB"/>
        </w:rPr>
        <w:t xml:space="preserve">Methods </w:t>
      </w:r>
    </w:p>
    <w:p w14:paraId="2BA288B4" w14:textId="19C5DB11" w:rsidR="000F25EF" w:rsidRDefault="000F25EF" w:rsidP="000F25EF">
      <w:pPr>
        <w:spacing w:line="480" w:lineRule="auto"/>
        <w:jc w:val="both"/>
        <w:rPr>
          <w:lang w:val="en-GB"/>
        </w:rPr>
      </w:pPr>
      <w:r>
        <w:rPr>
          <w:color w:val="000000" w:themeColor="text1"/>
          <w:lang w:val="en-GB"/>
        </w:rPr>
        <w:t xml:space="preserve">The </w:t>
      </w:r>
      <w:r w:rsidRPr="004D10E9">
        <w:rPr>
          <w:color w:val="000000" w:themeColor="text1"/>
          <w:lang w:val="en-GB"/>
        </w:rPr>
        <w:t>Maximi</w:t>
      </w:r>
      <w:r>
        <w:rPr>
          <w:color w:val="000000" w:themeColor="text1"/>
          <w:lang w:val="en-GB"/>
        </w:rPr>
        <w:t>s</w:t>
      </w:r>
      <w:r w:rsidRPr="004D10E9">
        <w:rPr>
          <w:color w:val="000000" w:themeColor="text1"/>
          <w:lang w:val="en-GB"/>
        </w:rPr>
        <w:t xml:space="preserve">ing ART for Better Health and Zero New HIV Infections </w:t>
      </w:r>
      <w:r>
        <w:rPr>
          <w:color w:val="000000" w:themeColor="text1"/>
          <w:lang w:val="en-GB"/>
        </w:rPr>
        <w:t>(</w:t>
      </w:r>
      <w:proofErr w:type="spellStart"/>
      <w:r w:rsidRPr="00142EB2">
        <w:rPr>
          <w:color w:val="000000" w:themeColor="text1"/>
          <w:lang w:val="en-GB"/>
        </w:rPr>
        <w:t>Max</w:t>
      </w:r>
      <w:r>
        <w:rPr>
          <w:color w:val="000000" w:themeColor="text1"/>
          <w:lang w:val="en-GB"/>
        </w:rPr>
        <w:t>ART</w:t>
      </w:r>
      <w:proofErr w:type="spellEnd"/>
      <w:r>
        <w:rPr>
          <w:color w:val="000000" w:themeColor="text1"/>
          <w:lang w:val="en-GB"/>
        </w:rPr>
        <w:t xml:space="preserve">) </w:t>
      </w:r>
      <w:r w:rsidRPr="004F036B">
        <w:rPr>
          <w:color w:val="000000" w:themeColor="text1"/>
          <w:lang w:val="en-GB"/>
        </w:rPr>
        <w:t>trial</w:t>
      </w:r>
      <w:r w:rsidR="00474280" w:rsidRPr="00474280">
        <w:rPr>
          <w:vertAlign w:val="superscript"/>
        </w:rPr>
        <w:t>31</w:t>
      </w:r>
      <w:r w:rsidRPr="004F036B">
        <w:rPr>
          <w:color w:val="000000" w:themeColor="text1"/>
          <w:lang w:val="en-GB"/>
        </w:rPr>
        <w:t xml:space="preserve"> </w:t>
      </w:r>
      <w:r w:rsidRPr="004F036B">
        <w:rPr>
          <w:lang w:val="en-GB"/>
        </w:rPr>
        <w:t xml:space="preserve">(NCT02909218) and </w:t>
      </w:r>
      <w:bookmarkStart w:id="15" w:name="_Hlk7615977"/>
      <w:r w:rsidRPr="004F036B">
        <w:rPr>
          <w:lang w:val="en-GB"/>
        </w:rPr>
        <w:t>the economic outcome analysis presented in here (</w:t>
      </w:r>
      <w:hyperlink r:id="rId12" w:tooltip="Current version of study NCT03789448 on ClinicalTrials.gov" w:history="1">
        <w:r w:rsidRPr="004F036B">
          <w:rPr>
            <w:rStyle w:val="Hyperlink"/>
            <w:color w:val="auto"/>
            <w:u w:val="none"/>
            <w:shd w:val="clear" w:color="auto" w:fill="FFFFFF"/>
            <w:lang w:val="en-GB"/>
          </w:rPr>
          <w:t>NCT03789448</w:t>
        </w:r>
      </w:hyperlink>
      <w:r w:rsidRPr="004F036B">
        <w:rPr>
          <w:shd w:val="clear" w:color="auto" w:fill="FFFFFF"/>
          <w:lang w:val="en-GB"/>
        </w:rPr>
        <w:t>)</w:t>
      </w:r>
      <w:r w:rsidRPr="004F036B">
        <w:rPr>
          <w:lang w:val="en-GB"/>
        </w:rPr>
        <w:t xml:space="preserve"> were pre-registered on ClinicalTrials.gov. </w:t>
      </w:r>
      <w:bookmarkEnd w:id="15"/>
    </w:p>
    <w:p w14:paraId="156339A9" w14:textId="77777777" w:rsidR="000F25EF" w:rsidRDefault="000F25EF" w:rsidP="000F25EF">
      <w:pPr>
        <w:spacing w:line="480" w:lineRule="auto"/>
        <w:jc w:val="both"/>
        <w:rPr>
          <w:lang w:val="en-GB"/>
        </w:rPr>
      </w:pPr>
    </w:p>
    <w:p w14:paraId="1AA7BAD3" w14:textId="77777777" w:rsidR="000F25EF" w:rsidRPr="004F036B" w:rsidRDefault="000F25EF" w:rsidP="000F25EF">
      <w:pPr>
        <w:pStyle w:val="Heading2"/>
        <w:spacing w:line="480" w:lineRule="auto"/>
        <w:rPr>
          <w:rFonts w:ascii="Times New Roman" w:hAnsi="Times New Roman" w:cs="Times New Roman"/>
          <w:b/>
          <w:color w:val="000000" w:themeColor="text1"/>
          <w:sz w:val="24"/>
          <w:szCs w:val="24"/>
          <w:lang w:val="en-GB"/>
        </w:rPr>
      </w:pPr>
      <w:r w:rsidRPr="004F036B">
        <w:rPr>
          <w:rFonts w:ascii="Times New Roman" w:hAnsi="Times New Roman" w:cs="Times New Roman"/>
          <w:b/>
          <w:color w:val="000000" w:themeColor="text1"/>
          <w:sz w:val="24"/>
          <w:szCs w:val="24"/>
          <w:lang w:val="en-GB"/>
        </w:rPr>
        <w:t>Study setting</w:t>
      </w:r>
    </w:p>
    <w:p w14:paraId="2FB6ED7F" w14:textId="141B5D44" w:rsidR="000F25EF" w:rsidRDefault="000F25EF" w:rsidP="000F25EF">
      <w:pPr>
        <w:spacing w:line="480" w:lineRule="auto"/>
        <w:jc w:val="both"/>
        <w:rPr>
          <w:color w:val="000000" w:themeColor="text1"/>
          <w:lang w:val="en-GB"/>
        </w:rPr>
      </w:pPr>
      <w:r w:rsidRPr="004F036B">
        <w:rPr>
          <w:color w:val="000000" w:themeColor="text1"/>
          <w:lang w:val="en-GB"/>
        </w:rPr>
        <w:t>The study was implemented in North-Western Eswatini (formerly “Swaziland”). 27.0% of the general population in Eswatini are HIV-positive</w:t>
      </w:r>
      <w:r>
        <w:rPr>
          <w:color w:val="000000" w:themeColor="text1"/>
          <w:lang w:val="en-GB"/>
        </w:rPr>
        <w:t>;</w:t>
      </w:r>
      <w:r w:rsidRPr="004F036B">
        <w:rPr>
          <w:color w:val="000000" w:themeColor="text1"/>
          <w:lang w:val="en-GB"/>
        </w:rPr>
        <w:t xml:space="preserve"> the </w:t>
      </w:r>
      <w:r>
        <w:rPr>
          <w:color w:val="000000" w:themeColor="text1"/>
          <w:lang w:val="en-GB"/>
        </w:rPr>
        <w:t xml:space="preserve">highest </w:t>
      </w:r>
      <w:r w:rsidRPr="004F036B">
        <w:rPr>
          <w:color w:val="000000" w:themeColor="text1"/>
          <w:lang w:val="en-GB"/>
        </w:rPr>
        <w:t>HIV prevalence worldwide.</w:t>
      </w:r>
      <w:r w:rsidR="00474280" w:rsidRPr="00474280">
        <w:rPr>
          <w:vertAlign w:val="superscript"/>
        </w:rPr>
        <w:t>32</w:t>
      </w:r>
      <w:r w:rsidRPr="004F036B">
        <w:rPr>
          <w:color w:val="000000" w:themeColor="text1"/>
          <w:lang w:val="en-GB"/>
        </w:rPr>
        <w:t xml:space="preserve"> The trial enrolled fourteen </w:t>
      </w:r>
      <w:r w:rsidRPr="004F036B">
        <w:rPr>
          <w:rFonts w:eastAsiaTheme="majorEastAsia"/>
          <w:color w:val="000000" w:themeColor="text1"/>
          <w:lang w:val="en-GB"/>
        </w:rPr>
        <w:t xml:space="preserve">government-managed health facilities located in the </w:t>
      </w:r>
      <w:proofErr w:type="spellStart"/>
      <w:r w:rsidRPr="004F036B">
        <w:rPr>
          <w:rFonts w:eastAsiaTheme="majorEastAsia"/>
          <w:color w:val="000000" w:themeColor="text1"/>
          <w:lang w:val="en-GB"/>
        </w:rPr>
        <w:t>Hhohho</w:t>
      </w:r>
      <w:proofErr w:type="spellEnd"/>
      <w:r w:rsidRPr="004F036B">
        <w:rPr>
          <w:rFonts w:eastAsiaTheme="majorEastAsia"/>
          <w:color w:val="000000" w:themeColor="text1"/>
          <w:lang w:val="en-GB"/>
        </w:rPr>
        <w:t xml:space="preserve"> region </w:t>
      </w:r>
      <w:r w:rsidRPr="004F036B">
        <w:rPr>
          <w:color w:val="000000" w:themeColor="text1"/>
          <w:lang w:val="en-GB"/>
        </w:rPr>
        <w:t xml:space="preserve">(see </w:t>
      </w:r>
      <w:r>
        <w:rPr>
          <w:color w:val="000000" w:themeColor="text1"/>
          <w:lang w:val="en-GB"/>
        </w:rPr>
        <w:t>Figure</w:t>
      </w:r>
      <w:r w:rsidRPr="004F036B">
        <w:rPr>
          <w:color w:val="000000" w:themeColor="text1"/>
          <w:lang w:val="en-GB"/>
        </w:rPr>
        <w:t xml:space="preserve"> 1). At the study’s outset in 2014, all health facilities provided comprehensive HIV care and treatment according to the national adult HIV treatment guidelines </w:t>
      </w:r>
      <w:r w:rsidRPr="004F036B">
        <w:rPr>
          <w:lang w:val="en-GB"/>
        </w:rPr>
        <w:t>effective</w:t>
      </w:r>
      <w:r w:rsidRPr="004F036B">
        <w:rPr>
          <w:color w:val="000000" w:themeColor="text1"/>
          <w:lang w:val="en-GB"/>
        </w:rPr>
        <w:t xml:space="preserve"> at the time, thus initiating ART according to prescribed CD4 count levels.</w:t>
      </w:r>
      <w:r>
        <w:rPr>
          <w:color w:val="000000" w:themeColor="text1"/>
          <w:lang w:val="en-GB"/>
        </w:rPr>
        <w:t xml:space="preserve"> According to the </w:t>
      </w:r>
      <w:r w:rsidRPr="001F60CD">
        <w:rPr>
          <w:i/>
          <w:color w:val="000000" w:themeColor="text1"/>
          <w:lang w:val="en-GB"/>
        </w:rPr>
        <w:t xml:space="preserve">Annual HIV Program Report </w:t>
      </w:r>
      <w:r>
        <w:rPr>
          <w:color w:val="000000" w:themeColor="text1"/>
          <w:lang w:val="en-GB"/>
        </w:rPr>
        <w:t>of 2014,</w:t>
      </w:r>
      <w:r w:rsidR="00474280" w:rsidRPr="00474280">
        <w:rPr>
          <w:vertAlign w:val="superscript"/>
        </w:rPr>
        <w:t>33</w:t>
      </w:r>
      <w:r>
        <w:rPr>
          <w:color w:val="000000" w:themeColor="text1"/>
          <w:lang w:val="en-GB"/>
        </w:rPr>
        <w:t xml:space="preserve"> almost 60% of HIV-patients in the </w:t>
      </w:r>
      <w:proofErr w:type="spellStart"/>
      <w:r>
        <w:rPr>
          <w:color w:val="000000" w:themeColor="text1"/>
          <w:lang w:val="en-GB"/>
        </w:rPr>
        <w:t>Hhohho</w:t>
      </w:r>
      <w:proofErr w:type="spellEnd"/>
      <w:r>
        <w:rPr>
          <w:color w:val="000000" w:themeColor="text1"/>
          <w:lang w:val="en-GB"/>
        </w:rPr>
        <w:t xml:space="preserve"> region had been initiated on ART in the year prior to the trial roll-out.</w:t>
      </w:r>
    </w:p>
    <w:p w14:paraId="17C1E77F" w14:textId="77777777" w:rsidR="000F25EF" w:rsidRPr="004F036B" w:rsidRDefault="000F25EF" w:rsidP="000F25EF">
      <w:pPr>
        <w:spacing w:line="480" w:lineRule="auto"/>
        <w:jc w:val="both"/>
        <w:rPr>
          <w:color w:val="000000" w:themeColor="text1"/>
          <w:lang w:val="en-GB"/>
        </w:rPr>
      </w:pPr>
    </w:p>
    <w:p w14:paraId="04DABC1F" w14:textId="77777777" w:rsidR="000F25EF" w:rsidRPr="00614787" w:rsidRDefault="000F25EF" w:rsidP="000F25EF">
      <w:pPr>
        <w:spacing w:line="480" w:lineRule="auto"/>
        <w:ind w:firstLine="720"/>
        <w:jc w:val="center"/>
      </w:pPr>
      <w:r>
        <w:t>Figure</w:t>
      </w:r>
      <w:r w:rsidRPr="009B6A6A">
        <w:t xml:space="preserve"> 1. </w:t>
      </w:r>
      <w:r w:rsidRPr="00614787">
        <w:t>Map of the healthcare facilities that participated in the study</w:t>
      </w:r>
    </w:p>
    <w:p w14:paraId="566FA197" w14:textId="77777777" w:rsidR="000F25EF" w:rsidRPr="00614787" w:rsidRDefault="000F25EF" w:rsidP="000F25EF">
      <w:pPr>
        <w:spacing w:line="480" w:lineRule="auto"/>
        <w:ind w:left="1440" w:firstLine="720"/>
        <w:jc w:val="both"/>
        <w:rPr>
          <w:color w:val="000000" w:themeColor="text1"/>
        </w:rPr>
      </w:pPr>
      <w:r w:rsidRPr="00614787">
        <w:rPr>
          <w:noProof/>
        </w:rPr>
        <w:drawing>
          <wp:anchor distT="0" distB="0" distL="114300" distR="114300" simplePos="0" relativeHeight="251662336" behindDoc="1" locked="0" layoutInCell="1" allowOverlap="1" wp14:anchorId="4A0AAA26" wp14:editId="162E452E">
            <wp:simplePos x="0" y="0"/>
            <wp:positionH relativeFrom="column">
              <wp:posOffset>1230630</wp:posOffset>
            </wp:positionH>
            <wp:positionV relativeFrom="paragraph">
              <wp:posOffset>101600</wp:posOffset>
            </wp:positionV>
            <wp:extent cx="3455101" cy="3322320"/>
            <wp:effectExtent l="0" t="0" r="0" b="0"/>
            <wp:wrapTight wrapText="bothSides">
              <wp:wrapPolygon edited="0">
                <wp:start x="0" y="0"/>
                <wp:lineTo x="0" y="21427"/>
                <wp:lineTo x="21437" y="21427"/>
                <wp:lineTo x="21437"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AAA map.png"/>
                    <pic:cNvPicPr/>
                  </pic:nvPicPr>
                  <pic:blipFill rotWithShape="1">
                    <a:blip r:embed="rId13">
                      <a:extLst>
                        <a:ext uri="{28A0092B-C50C-407E-A947-70E740481C1C}">
                          <a14:useLocalDpi xmlns:a14="http://schemas.microsoft.com/office/drawing/2010/main" val="0"/>
                        </a:ext>
                      </a:extLst>
                    </a:blip>
                    <a:srcRect l="1706" t="1932" r="1599" b="1464"/>
                    <a:stretch/>
                  </pic:blipFill>
                  <pic:spPr bwMode="auto">
                    <a:xfrm>
                      <a:off x="0" y="0"/>
                      <a:ext cx="3455101" cy="33223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614787">
        <w:rPr>
          <w:color w:val="000000" w:themeColor="text1"/>
        </w:rPr>
        <w:t xml:space="preserve"> </w:t>
      </w:r>
    </w:p>
    <w:p w14:paraId="1396FDC4" w14:textId="77777777" w:rsidR="000F25EF" w:rsidRPr="00614787" w:rsidRDefault="000F25EF" w:rsidP="000F25EF">
      <w:pPr>
        <w:spacing w:line="480" w:lineRule="auto"/>
        <w:ind w:left="1440" w:firstLine="720"/>
        <w:jc w:val="both"/>
        <w:rPr>
          <w:color w:val="000000" w:themeColor="text1"/>
        </w:rPr>
      </w:pPr>
    </w:p>
    <w:p w14:paraId="22920EDD" w14:textId="77777777" w:rsidR="000F25EF" w:rsidRPr="00614787" w:rsidRDefault="000F25EF" w:rsidP="000F25EF">
      <w:pPr>
        <w:spacing w:line="480" w:lineRule="auto"/>
        <w:rPr>
          <w:noProof/>
        </w:rPr>
      </w:pPr>
    </w:p>
    <w:p w14:paraId="5850F2C6" w14:textId="77777777" w:rsidR="000F25EF" w:rsidRPr="00614787" w:rsidRDefault="000F25EF" w:rsidP="000F25EF">
      <w:pPr>
        <w:spacing w:line="480" w:lineRule="auto"/>
      </w:pPr>
    </w:p>
    <w:p w14:paraId="347E8280" w14:textId="77777777" w:rsidR="000F25EF" w:rsidRDefault="000F25EF" w:rsidP="000F25EF">
      <w:pPr>
        <w:spacing w:line="480" w:lineRule="auto"/>
      </w:pPr>
    </w:p>
    <w:p w14:paraId="746149E7" w14:textId="77777777" w:rsidR="000F25EF" w:rsidRDefault="000F25EF" w:rsidP="000F25EF">
      <w:pPr>
        <w:spacing w:line="480" w:lineRule="auto"/>
      </w:pPr>
    </w:p>
    <w:p w14:paraId="535D2837" w14:textId="77777777" w:rsidR="000F25EF" w:rsidRDefault="000F25EF" w:rsidP="000F25EF">
      <w:pPr>
        <w:spacing w:line="480" w:lineRule="auto"/>
      </w:pPr>
    </w:p>
    <w:p w14:paraId="37DCA537" w14:textId="77777777" w:rsidR="000F25EF" w:rsidRPr="009B6A6A" w:rsidRDefault="000F25EF" w:rsidP="000F25EF">
      <w:pPr>
        <w:spacing w:line="480" w:lineRule="auto"/>
      </w:pPr>
    </w:p>
    <w:p w14:paraId="26BB03A7" w14:textId="77777777" w:rsidR="000F25EF" w:rsidRDefault="000F25EF" w:rsidP="000F25EF">
      <w:pPr>
        <w:spacing w:line="480" w:lineRule="auto"/>
        <w:rPr>
          <w:lang w:val="en-GB"/>
        </w:rPr>
      </w:pPr>
    </w:p>
    <w:p w14:paraId="6F87DAE2" w14:textId="77777777" w:rsidR="000F25EF" w:rsidRDefault="000F25EF" w:rsidP="000F25EF">
      <w:pPr>
        <w:spacing w:line="480" w:lineRule="auto"/>
        <w:rPr>
          <w:lang w:val="en-GB"/>
        </w:rPr>
      </w:pPr>
    </w:p>
    <w:p w14:paraId="49E4F94D" w14:textId="77777777" w:rsidR="000F25EF" w:rsidRDefault="000F25EF" w:rsidP="000F25EF">
      <w:pPr>
        <w:spacing w:line="480" w:lineRule="auto"/>
        <w:rPr>
          <w:lang w:val="en-GB"/>
        </w:rPr>
      </w:pPr>
    </w:p>
    <w:p w14:paraId="703CD9B5" w14:textId="77777777" w:rsidR="000F25EF" w:rsidRPr="004F036B" w:rsidRDefault="000F25EF" w:rsidP="000F25EF">
      <w:pPr>
        <w:pStyle w:val="Heading2"/>
        <w:spacing w:before="0" w:line="480" w:lineRule="auto"/>
        <w:jc w:val="both"/>
        <w:rPr>
          <w:rFonts w:ascii="Times New Roman" w:hAnsi="Times New Roman" w:cs="Times New Roman"/>
          <w:b/>
          <w:color w:val="000000" w:themeColor="text1"/>
          <w:sz w:val="24"/>
          <w:szCs w:val="24"/>
          <w:lang w:val="en-GB"/>
        </w:rPr>
      </w:pPr>
      <w:r w:rsidRPr="004F036B">
        <w:rPr>
          <w:rFonts w:ascii="Times New Roman" w:hAnsi="Times New Roman" w:cs="Times New Roman"/>
          <w:b/>
          <w:color w:val="000000" w:themeColor="text1"/>
          <w:sz w:val="24"/>
          <w:szCs w:val="24"/>
          <w:lang w:val="en-GB"/>
        </w:rPr>
        <w:lastRenderedPageBreak/>
        <w:t>Stepped-wedge randomised trial design</w:t>
      </w:r>
    </w:p>
    <w:p w14:paraId="6978F3AE" w14:textId="18188481" w:rsidR="000F25EF" w:rsidRDefault="000F25EF" w:rsidP="000F25EF">
      <w:pPr>
        <w:spacing w:line="480" w:lineRule="auto"/>
        <w:jc w:val="both"/>
        <w:rPr>
          <w:color w:val="000000" w:themeColor="text1"/>
          <w:lang w:val="en-GB"/>
        </w:rPr>
      </w:pPr>
      <w:bookmarkStart w:id="16" w:name="_Hlk47024254"/>
      <w:r w:rsidRPr="004F036B">
        <w:rPr>
          <w:rFonts w:eastAsiaTheme="majorEastAsia"/>
          <w:color w:val="000000" w:themeColor="text1"/>
          <w:lang w:val="en-GB"/>
        </w:rPr>
        <w:t xml:space="preserve">Health facilities were allocated non-randomly into seven pairs </w:t>
      </w:r>
      <w:r>
        <w:rPr>
          <w:rFonts w:eastAsiaTheme="majorEastAsia"/>
          <w:color w:val="000000" w:themeColor="text1"/>
          <w:lang w:val="en-GB"/>
        </w:rPr>
        <w:t>based on their</w:t>
      </w:r>
      <w:r w:rsidRPr="004F036B">
        <w:rPr>
          <w:rFonts w:eastAsiaTheme="majorEastAsia"/>
          <w:color w:val="000000" w:themeColor="text1"/>
          <w:lang w:val="en-GB"/>
        </w:rPr>
        <w:t xml:space="preserve"> geographic proximity</w:t>
      </w:r>
      <w:r>
        <w:rPr>
          <w:rFonts w:eastAsiaTheme="majorEastAsia"/>
          <w:color w:val="000000" w:themeColor="text1"/>
          <w:lang w:val="en-GB"/>
        </w:rPr>
        <w:t xml:space="preserve"> to avoid possible contamination</w:t>
      </w:r>
      <w:r w:rsidRPr="004F036B">
        <w:rPr>
          <w:rFonts w:eastAsiaTheme="majorEastAsia"/>
          <w:color w:val="000000" w:themeColor="text1"/>
          <w:lang w:val="en-GB"/>
        </w:rPr>
        <w:t xml:space="preserve"> and</w:t>
      </w:r>
      <w:r>
        <w:rPr>
          <w:rFonts w:eastAsiaTheme="majorEastAsia"/>
          <w:color w:val="000000" w:themeColor="text1"/>
          <w:lang w:val="en-GB"/>
        </w:rPr>
        <w:t xml:space="preserve"> based on their</w:t>
      </w:r>
      <w:r w:rsidRPr="004F036B">
        <w:rPr>
          <w:rFonts w:eastAsiaTheme="majorEastAsia"/>
          <w:color w:val="000000" w:themeColor="text1"/>
          <w:lang w:val="en-GB"/>
        </w:rPr>
        <w:t xml:space="preserve"> facility catchment size</w:t>
      </w:r>
      <w:r>
        <w:rPr>
          <w:rFonts w:eastAsiaTheme="majorEastAsia"/>
          <w:color w:val="000000" w:themeColor="text1"/>
          <w:lang w:val="en-GB"/>
        </w:rPr>
        <w:t xml:space="preserve"> to ensure that group sizes were roughly equal</w:t>
      </w:r>
      <w:r w:rsidRPr="004F036B">
        <w:rPr>
          <w:rFonts w:eastAsiaTheme="majorEastAsia"/>
          <w:color w:val="000000" w:themeColor="text1"/>
          <w:lang w:val="en-GB"/>
        </w:rPr>
        <w:t xml:space="preserve">. </w:t>
      </w:r>
      <w:bookmarkEnd w:id="16"/>
      <w:r w:rsidRPr="004F036B">
        <w:rPr>
          <w:rFonts w:eastAsiaTheme="majorEastAsia"/>
          <w:color w:val="000000" w:themeColor="text1"/>
          <w:lang w:val="en-GB"/>
        </w:rPr>
        <w:t xml:space="preserve">Over the course of three years, each of the seven pairs was randomly assigned to one of seven sequences, which determined the point in time at which each facility shifted from the standard of care (control condition) to the Early Access to ART for All (EAAA) intervention (treatment condition) (see </w:t>
      </w:r>
      <w:r>
        <w:rPr>
          <w:rFonts w:eastAsiaTheme="majorEastAsia"/>
          <w:color w:val="000000" w:themeColor="text1"/>
          <w:lang w:val="en-GB"/>
        </w:rPr>
        <w:t>Table 1</w:t>
      </w:r>
      <w:r w:rsidRPr="004F036B">
        <w:rPr>
          <w:rFonts w:eastAsiaTheme="majorEastAsia"/>
          <w:color w:val="000000" w:themeColor="text1"/>
          <w:lang w:val="en-GB"/>
        </w:rPr>
        <w:t>). Hence, in the first period, all facilities adhered to the national standard of care while in the last period, all facilities had adopted EAAA.</w:t>
      </w:r>
      <w:r w:rsidRPr="004F036B">
        <w:rPr>
          <w:color w:val="000000" w:themeColor="text1"/>
          <w:lang w:val="en-GB"/>
        </w:rPr>
        <w:t xml:space="preserve"> </w:t>
      </w:r>
      <w:r w:rsidRPr="004F036B">
        <w:rPr>
          <w:rFonts w:eastAsiaTheme="majorEastAsia"/>
          <w:color w:val="000000" w:themeColor="text1"/>
          <w:lang w:val="en-GB"/>
        </w:rPr>
        <w:t>The randomisation was carried out by the trial statisticians</w:t>
      </w:r>
      <w:r>
        <w:rPr>
          <w:rFonts w:eastAsiaTheme="majorEastAsia"/>
          <w:color w:val="000000" w:themeColor="text1"/>
          <w:lang w:val="en-GB"/>
        </w:rPr>
        <w:t>. N</w:t>
      </w:r>
      <w:r w:rsidRPr="004F036B">
        <w:rPr>
          <w:rFonts w:eastAsiaTheme="majorEastAsia"/>
          <w:color w:val="000000" w:themeColor="text1"/>
          <w:lang w:val="en-GB"/>
        </w:rPr>
        <w:t>o stratification was used.</w:t>
      </w:r>
      <w:bookmarkStart w:id="17" w:name="_Hlk47033904"/>
      <w:r w:rsidRPr="004F036B">
        <w:rPr>
          <w:lang w:val="en-GB"/>
        </w:rPr>
        <w:t xml:space="preserve"> </w:t>
      </w:r>
      <w:r>
        <w:rPr>
          <w:lang w:val="en-GB"/>
        </w:rPr>
        <w:t>This was an open-label trial in which h</w:t>
      </w:r>
      <w:r w:rsidRPr="004F036B">
        <w:rPr>
          <w:rFonts w:eastAsiaTheme="majorEastAsia"/>
          <w:color w:val="000000" w:themeColor="text1"/>
          <w:lang w:val="en-GB"/>
        </w:rPr>
        <w:t xml:space="preserve">ealthcare providers and patients were </w:t>
      </w:r>
      <w:r w:rsidRPr="004F036B">
        <w:rPr>
          <w:color w:val="000000" w:themeColor="text1"/>
          <w:lang w:val="en-GB"/>
        </w:rPr>
        <w:t>unblinded to the intervention itself</w:t>
      </w:r>
      <w:r>
        <w:rPr>
          <w:color w:val="000000" w:themeColor="text1"/>
          <w:lang w:val="en-GB"/>
        </w:rPr>
        <w:t>. However,</w:t>
      </w:r>
      <w:r w:rsidRPr="004F036B">
        <w:rPr>
          <w:color w:val="000000" w:themeColor="text1"/>
          <w:lang w:val="en-GB"/>
        </w:rPr>
        <w:t xml:space="preserve"> the timing of the transition was only revealed to </w:t>
      </w:r>
      <w:r>
        <w:rPr>
          <w:color w:val="000000" w:themeColor="text1"/>
          <w:lang w:val="en-GB"/>
        </w:rPr>
        <w:t xml:space="preserve">healthcare providers </w:t>
      </w:r>
      <w:r w:rsidRPr="004F036B">
        <w:rPr>
          <w:color w:val="000000" w:themeColor="text1"/>
          <w:lang w:val="en-GB"/>
        </w:rPr>
        <w:t xml:space="preserve">six to four weeks prior to the </w:t>
      </w:r>
      <w:r>
        <w:rPr>
          <w:color w:val="000000" w:themeColor="text1"/>
          <w:lang w:val="en-GB"/>
        </w:rPr>
        <w:t>start of EAAA implementation</w:t>
      </w:r>
      <w:r w:rsidRPr="004F036B">
        <w:rPr>
          <w:color w:val="000000" w:themeColor="text1"/>
          <w:lang w:val="en-GB"/>
        </w:rPr>
        <w:t xml:space="preserve">. </w:t>
      </w:r>
      <w:bookmarkEnd w:id="17"/>
    </w:p>
    <w:p w14:paraId="60294F06" w14:textId="77777777" w:rsidR="000F25EF" w:rsidRPr="009B6A6A" w:rsidRDefault="000F25EF" w:rsidP="000F25EF">
      <w:pPr>
        <w:spacing w:line="360" w:lineRule="auto"/>
        <w:jc w:val="center"/>
        <w:rPr>
          <w:lang w:val="en-GB"/>
        </w:rPr>
      </w:pPr>
    </w:p>
    <w:p w14:paraId="2BC979D7" w14:textId="77777777" w:rsidR="000F25EF" w:rsidRPr="009B6A6A" w:rsidRDefault="000F25EF" w:rsidP="000F25EF">
      <w:pPr>
        <w:spacing w:line="360" w:lineRule="auto"/>
        <w:jc w:val="center"/>
        <w:rPr>
          <w:lang w:val="en-GB"/>
        </w:rPr>
      </w:pPr>
      <w:r w:rsidRPr="009B6A6A">
        <w:rPr>
          <w:lang w:val="en-GB"/>
        </w:rPr>
        <w:t>Table 1. Stepped-wedge trial design used in this study</w:t>
      </w:r>
    </w:p>
    <w:tbl>
      <w:tblPr>
        <w:tblStyle w:val="TableGrid"/>
        <w:tblW w:w="10178" w:type="dxa"/>
        <w:tblInd w:w="-467" w:type="dxa"/>
        <w:tblLook w:val="04A0" w:firstRow="1" w:lastRow="0" w:firstColumn="1" w:lastColumn="0" w:noHBand="0" w:noVBand="1"/>
      </w:tblPr>
      <w:tblGrid>
        <w:gridCol w:w="2406"/>
        <w:gridCol w:w="1050"/>
        <w:gridCol w:w="1019"/>
        <w:gridCol w:w="1018"/>
        <w:gridCol w:w="814"/>
        <w:gridCol w:w="814"/>
        <w:gridCol w:w="1019"/>
        <w:gridCol w:w="1019"/>
        <w:gridCol w:w="1019"/>
      </w:tblGrid>
      <w:tr w:rsidR="000F25EF" w:rsidRPr="009F60C9" w14:paraId="2A2E29F2" w14:textId="77777777" w:rsidTr="00031159">
        <w:trPr>
          <w:trHeight w:val="306"/>
        </w:trPr>
        <w:tc>
          <w:tcPr>
            <w:tcW w:w="2304" w:type="dxa"/>
          </w:tcPr>
          <w:p w14:paraId="6B53ECB8" w14:textId="77777777" w:rsidR="000F25EF" w:rsidRPr="009F60C9" w:rsidRDefault="000F25EF" w:rsidP="00031159">
            <w:pPr>
              <w:autoSpaceDE w:val="0"/>
              <w:autoSpaceDN w:val="0"/>
              <w:adjustRightInd w:val="0"/>
              <w:spacing w:line="360" w:lineRule="auto"/>
              <w:outlineLvl w:val="0"/>
              <w:rPr>
                <w:rFonts w:eastAsiaTheme="majorEastAsia"/>
                <w:b/>
                <w:color w:val="000000" w:themeColor="text1"/>
                <w:sz w:val="16"/>
                <w:szCs w:val="16"/>
                <w:lang w:val="en-GB"/>
              </w:rPr>
            </w:pPr>
            <w:r w:rsidRPr="009F60C9">
              <w:rPr>
                <w:rFonts w:eastAsiaTheme="majorEastAsia"/>
                <w:b/>
                <w:color w:val="000000" w:themeColor="text1"/>
                <w:sz w:val="16"/>
                <w:szCs w:val="16"/>
                <w:lang w:val="en-GB"/>
              </w:rPr>
              <w:t>Healthcare Facility</w:t>
            </w:r>
          </w:p>
        </w:tc>
        <w:tc>
          <w:tcPr>
            <w:tcW w:w="1006" w:type="dxa"/>
          </w:tcPr>
          <w:p w14:paraId="0DAD30DA" w14:textId="77777777" w:rsidR="000F25EF" w:rsidRPr="009F60C9" w:rsidRDefault="000F25EF" w:rsidP="00031159">
            <w:pPr>
              <w:autoSpaceDE w:val="0"/>
              <w:autoSpaceDN w:val="0"/>
              <w:adjustRightInd w:val="0"/>
              <w:spacing w:line="360" w:lineRule="auto"/>
              <w:jc w:val="center"/>
              <w:outlineLvl w:val="0"/>
              <w:rPr>
                <w:rFonts w:eastAsiaTheme="majorEastAsia"/>
                <w:bCs/>
                <w:color w:val="000000" w:themeColor="text1"/>
                <w:sz w:val="16"/>
                <w:szCs w:val="16"/>
                <w:lang w:val="en-GB"/>
              </w:rPr>
            </w:pPr>
            <w:r w:rsidRPr="009F60C9">
              <w:rPr>
                <w:rFonts w:eastAsiaTheme="majorEastAsia"/>
                <w:bCs/>
                <w:color w:val="000000" w:themeColor="text1"/>
                <w:sz w:val="16"/>
                <w:szCs w:val="16"/>
                <w:lang w:val="en-GB"/>
              </w:rPr>
              <w:t>Sep - Dec</w:t>
            </w:r>
          </w:p>
          <w:p w14:paraId="4837E526" w14:textId="77777777" w:rsidR="000F25EF" w:rsidRPr="009F60C9" w:rsidRDefault="000F25EF" w:rsidP="00031159">
            <w:pPr>
              <w:autoSpaceDE w:val="0"/>
              <w:autoSpaceDN w:val="0"/>
              <w:adjustRightInd w:val="0"/>
              <w:spacing w:line="360" w:lineRule="auto"/>
              <w:jc w:val="center"/>
              <w:outlineLvl w:val="0"/>
              <w:rPr>
                <w:rFonts w:eastAsiaTheme="majorEastAsia"/>
                <w:color w:val="000000" w:themeColor="text1"/>
                <w:sz w:val="16"/>
                <w:szCs w:val="16"/>
                <w:lang w:val="en-GB"/>
              </w:rPr>
            </w:pPr>
            <w:r w:rsidRPr="009F60C9">
              <w:rPr>
                <w:rFonts w:eastAsiaTheme="majorEastAsia"/>
                <w:color w:val="000000" w:themeColor="text1"/>
                <w:sz w:val="16"/>
                <w:szCs w:val="16"/>
                <w:lang w:val="en-GB"/>
              </w:rPr>
              <w:t>2014</w:t>
            </w:r>
          </w:p>
        </w:tc>
        <w:tc>
          <w:tcPr>
            <w:tcW w:w="975" w:type="dxa"/>
          </w:tcPr>
          <w:p w14:paraId="235EC75C" w14:textId="77777777" w:rsidR="000F25EF" w:rsidRPr="009F60C9" w:rsidRDefault="000F25EF" w:rsidP="00031159">
            <w:pPr>
              <w:autoSpaceDE w:val="0"/>
              <w:autoSpaceDN w:val="0"/>
              <w:adjustRightInd w:val="0"/>
              <w:spacing w:line="360" w:lineRule="auto"/>
              <w:jc w:val="center"/>
              <w:outlineLvl w:val="0"/>
              <w:rPr>
                <w:rFonts w:eastAsiaTheme="majorEastAsia"/>
                <w:bCs/>
                <w:color w:val="000000" w:themeColor="text1"/>
                <w:sz w:val="16"/>
                <w:szCs w:val="16"/>
                <w:lang w:val="en-GB"/>
              </w:rPr>
            </w:pPr>
            <w:r w:rsidRPr="009F60C9">
              <w:rPr>
                <w:rFonts w:eastAsiaTheme="majorEastAsia"/>
                <w:bCs/>
                <w:color w:val="000000" w:themeColor="text1"/>
                <w:sz w:val="16"/>
                <w:szCs w:val="16"/>
                <w:lang w:val="en-GB"/>
              </w:rPr>
              <w:t>Jan – Apr 2015</w:t>
            </w:r>
          </w:p>
        </w:tc>
        <w:tc>
          <w:tcPr>
            <w:tcW w:w="974" w:type="dxa"/>
          </w:tcPr>
          <w:p w14:paraId="0612E520" w14:textId="77777777" w:rsidR="000F25EF" w:rsidRPr="009F60C9" w:rsidRDefault="000F25EF" w:rsidP="00031159">
            <w:pPr>
              <w:autoSpaceDE w:val="0"/>
              <w:autoSpaceDN w:val="0"/>
              <w:adjustRightInd w:val="0"/>
              <w:spacing w:line="360" w:lineRule="auto"/>
              <w:jc w:val="center"/>
              <w:outlineLvl w:val="0"/>
              <w:rPr>
                <w:rFonts w:eastAsiaTheme="majorEastAsia"/>
                <w:bCs/>
                <w:color w:val="000000" w:themeColor="text1"/>
                <w:sz w:val="16"/>
                <w:szCs w:val="16"/>
                <w:lang w:val="en-GB"/>
              </w:rPr>
            </w:pPr>
            <w:r w:rsidRPr="009F60C9">
              <w:rPr>
                <w:rFonts w:eastAsiaTheme="majorEastAsia"/>
                <w:bCs/>
                <w:color w:val="000000" w:themeColor="text1"/>
                <w:sz w:val="16"/>
                <w:szCs w:val="16"/>
                <w:lang w:val="en-GB"/>
              </w:rPr>
              <w:t>May - Aug 2015</w:t>
            </w:r>
          </w:p>
        </w:tc>
        <w:tc>
          <w:tcPr>
            <w:tcW w:w="779" w:type="dxa"/>
          </w:tcPr>
          <w:p w14:paraId="1DECA1CB" w14:textId="77777777" w:rsidR="000F25EF" w:rsidRPr="009F60C9" w:rsidRDefault="000F25EF" w:rsidP="00031159">
            <w:pPr>
              <w:autoSpaceDE w:val="0"/>
              <w:autoSpaceDN w:val="0"/>
              <w:adjustRightInd w:val="0"/>
              <w:spacing w:line="360" w:lineRule="auto"/>
              <w:jc w:val="center"/>
              <w:outlineLvl w:val="0"/>
              <w:rPr>
                <w:rFonts w:eastAsiaTheme="majorEastAsia"/>
                <w:bCs/>
                <w:color w:val="000000" w:themeColor="text1"/>
                <w:sz w:val="16"/>
                <w:szCs w:val="16"/>
                <w:lang w:val="en-GB"/>
              </w:rPr>
            </w:pPr>
            <w:r w:rsidRPr="009F60C9">
              <w:rPr>
                <w:rFonts w:eastAsiaTheme="majorEastAsia"/>
                <w:bCs/>
                <w:color w:val="000000" w:themeColor="text1"/>
                <w:sz w:val="16"/>
                <w:szCs w:val="16"/>
                <w:lang w:val="en-GB"/>
              </w:rPr>
              <w:t>Sep-Dec 2015</w:t>
            </w:r>
          </w:p>
        </w:tc>
        <w:tc>
          <w:tcPr>
            <w:tcW w:w="779" w:type="dxa"/>
            <w:tcBorders>
              <w:bottom w:val="single" w:sz="4" w:space="0" w:color="auto"/>
              <w:right w:val="single" w:sz="4" w:space="0" w:color="auto"/>
            </w:tcBorders>
          </w:tcPr>
          <w:p w14:paraId="1A079FD2" w14:textId="77777777" w:rsidR="000F25EF" w:rsidRPr="009F60C9" w:rsidRDefault="000F25EF" w:rsidP="00031159">
            <w:pPr>
              <w:autoSpaceDE w:val="0"/>
              <w:autoSpaceDN w:val="0"/>
              <w:adjustRightInd w:val="0"/>
              <w:spacing w:line="360" w:lineRule="auto"/>
              <w:jc w:val="center"/>
              <w:outlineLvl w:val="0"/>
              <w:rPr>
                <w:rFonts w:eastAsiaTheme="majorEastAsia"/>
                <w:bCs/>
                <w:color w:val="000000" w:themeColor="text1"/>
                <w:sz w:val="16"/>
                <w:szCs w:val="16"/>
                <w:lang w:val="en-GB"/>
              </w:rPr>
            </w:pPr>
            <w:r w:rsidRPr="009F60C9">
              <w:rPr>
                <w:rFonts w:eastAsiaTheme="majorEastAsia"/>
                <w:bCs/>
                <w:color w:val="000000" w:themeColor="text1"/>
                <w:sz w:val="16"/>
                <w:szCs w:val="16"/>
                <w:lang w:val="en-GB"/>
              </w:rPr>
              <w:t>Jan -Apr 2016</w:t>
            </w:r>
          </w:p>
        </w:tc>
        <w:tc>
          <w:tcPr>
            <w:tcW w:w="975" w:type="dxa"/>
            <w:tcBorders>
              <w:bottom w:val="single" w:sz="4" w:space="0" w:color="auto"/>
              <w:right w:val="single" w:sz="4" w:space="0" w:color="auto"/>
            </w:tcBorders>
          </w:tcPr>
          <w:p w14:paraId="318B022C" w14:textId="77777777" w:rsidR="000F25EF" w:rsidRPr="009F60C9" w:rsidRDefault="000F25EF" w:rsidP="00031159">
            <w:pPr>
              <w:autoSpaceDE w:val="0"/>
              <w:autoSpaceDN w:val="0"/>
              <w:adjustRightInd w:val="0"/>
              <w:spacing w:line="360" w:lineRule="auto"/>
              <w:jc w:val="center"/>
              <w:outlineLvl w:val="0"/>
              <w:rPr>
                <w:rFonts w:eastAsiaTheme="majorEastAsia"/>
                <w:bCs/>
                <w:color w:val="000000" w:themeColor="text1"/>
                <w:sz w:val="16"/>
                <w:szCs w:val="16"/>
                <w:lang w:val="en-GB"/>
              </w:rPr>
            </w:pPr>
            <w:r w:rsidRPr="009F60C9">
              <w:rPr>
                <w:rFonts w:eastAsiaTheme="majorEastAsia"/>
                <w:bCs/>
                <w:color w:val="000000" w:themeColor="text1"/>
                <w:sz w:val="16"/>
                <w:szCs w:val="16"/>
                <w:lang w:val="en-GB"/>
              </w:rPr>
              <w:t>May-Aug 2016</w:t>
            </w:r>
          </w:p>
        </w:tc>
        <w:tc>
          <w:tcPr>
            <w:tcW w:w="975" w:type="dxa"/>
            <w:tcBorders>
              <w:bottom w:val="single" w:sz="4" w:space="0" w:color="auto"/>
              <w:right w:val="single" w:sz="4" w:space="0" w:color="auto"/>
            </w:tcBorders>
          </w:tcPr>
          <w:p w14:paraId="3CDF2561" w14:textId="77777777" w:rsidR="000F25EF" w:rsidRPr="009F60C9" w:rsidRDefault="000F25EF" w:rsidP="00031159">
            <w:pPr>
              <w:autoSpaceDE w:val="0"/>
              <w:autoSpaceDN w:val="0"/>
              <w:adjustRightInd w:val="0"/>
              <w:spacing w:line="360" w:lineRule="auto"/>
              <w:jc w:val="center"/>
              <w:outlineLvl w:val="0"/>
              <w:rPr>
                <w:rFonts w:eastAsiaTheme="majorEastAsia"/>
                <w:bCs/>
                <w:color w:val="000000" w:themeColor="text1"/>
                <w:sz w:val="16"/>
                <w:szCs w:val="16"/>
                <w:lang w:val="en-GB"/>
              </w:rPr>
            </w:pPr>
            <w:r w:rsidRPr="009F60C9">
              <w:rPr>
                <w:rFonts w:eastAsiaTheme="majorEastAsia"/>
                <w:bCs/>
                <w:color w:val="000000" w:themeColor="text1"/>
                <w:sz w:val="16"/>
                <w:szCs w:val="16"/>
                <w:lang w:val="en-GB"/>
              </w:rPr>
              <w:t>Sep -Oct 2016</w:t>
            </w:r>
          </w:p>
        </w:tc>
        <w:tc>
          <w:tcPr>
            <w:tcW w:w="975" w:type="dxa"/>
            <w:tcBorders>
              <w:bottom w:val="single" w:sz="4" w:space="0" w:color="auto"/>
              <w:right w:val="single" w:sz="4" w:space="0" w:color="auto"/>
            </w:tcBorders>
          </w:tcPr>
          <w:p w14:paraId="57A9DA72" w14:textId="77777777" w:rsidR="000F25EF" w:rsidRPr="009F60C9" w:rsidRDefault="000F25EF" w:rsidP="00031159">
            <w:pPr>
              <w:autoSpaceDE w:val="0"/>
              <w:autoSpaceDN w:val="0"/>
              <w:adjustRightInd w:val="0"/>
              <w:spacing w:line="360" w:lineRule="auto"/>
              <w:jc w:val="center"/>
              <w:outlineLvl w:val="0"/>
              <w:rPr>
                <w:rFonts w:eastAsiaTheme="majorEastAsia"/>
                <w:color w:val="000000" w:themeColor="text1"/>
                <w:sz w:val="16"/>
                <w:szCs w:val="16"/>
                <w:lang w:val="en-GB"/>
              </w:rPr>
            </w:pPr>
            <w:r w:rsidRPr="009F60C9">
              <w:rPr>
                <w:rFonts w:eastAsiaTheme="majorEastAsia"/>
                <w:bCs/>
                <w:color w:val="000000" w:themeColor="text1"/>
                <w:sz w:val="16"/>
                <w:szCs w:val="16"/>
                <w:lang w:val="en-GB"/>
              </w:rPr>
              <w:t>Oct 2016 -Aug 2017</w:t>
            </w:r>
          </w:p>
        </w:tc>
      </w:tr>
      <w:tr w:rsidR="000F25EF" w:rsidRPr="009F60C9" w14:paraId="263E0D4C" w14:textId="77777777" w:rsidTr="00031159">
        <w:trPr>
          <w:trHeight w:val="86"/>
        </w:trPr>
        <w:tc>
          <w:tcPr>
            <w:tcW w:w="2304" w:type="dxa"/>
          </w:tcPr>
          <w:p w14:paraId="480BFD48" w14:textId="77777777" w:rsidR="000F25EF" w:rsidRPr="009F60C9" w:rsidRDefault="000F25EF" w:rsidP="00031159">
            <w:pPr>
              <w:autoSpaceDE w:val="0"/>
              <w:autoSpaceDN w:val="0"/>
              <w:adjustRightInd w:val="0"/>
              <w:spacing w:line="360" w:lineRule="auto"/>
              <w:ind w:left="-109"/>
              <w:outlineLvl w:val="0"/>
              <w:rPr>
                <w:rFonts w:eastAsiaTheme="majorEastAsia"/>
                <w:bCs/>
                <w:color w:val="000000" w:themeColor="text1"/>
                <w:sz w:val="16"/>
                <w:szCs w:val="16"/>
                <w:lang w:val="en-GB"/>
              </w:rPr>
            </w:pPr>
            <w:proofErr w:type="spellStart"/>
            <w:r w:rsidRPr="009F60C9">
              <w:rPr>
                <w:rFonts w:eastAsiaTheme="majorEastAsia"/>
                <w:bCs/>
                <w:color w:val="000000" w:themeColor="text1"/>
                <w:sz w:val="16"/>
                <w:szCs w:val="16"/>
                <w:lang w:val="en-GB"/>
              </w:rPr>
              <w:t>Mshingishingini</w:t>
            </w:r>
            <w:proofErr w:type="spellEnd"/>
            <w:r w:rsidRPr="009F60C9">
              <w:rPr>
                <w:rFonts w:eastAsiaTheme="majorEastAsia"/>
                <w:bCs/>
                <w:color w:val="000000" w:themeColor="text1"/>
                <w:sz w:val="16"/>
                <w:szCs w:val="16"/>
                <w:lang w:val="en-GB"/>
              </w:rPr>
              <w:t xml:space="preserve"> Nazarene </w:t>
            </w:r>
            <w:r w:rsidRPr="009F60C9">
              <w:rPr>
                <w:color w:val="000000"/>
                <w:sz w:val="16"/>
                <w:szCs w:val="16"/>
                <w:lang w:val="en-GB" w:eastAsia="en-GB"/>
              </w:rPr>
              <w:t>Clinic</w:t>
            </w:r>
          </w:p>
        </w:tc>
        <w:tc>
          <w:tcPr>
            <w:tcW w:w="1006" w:type="dxa"/>
            <w:shd w:val="clear" w:color="auto" w:fill="D9D9D9" w:themeFill="background1" w:themeFillShade="D9"/>
            <w:vAlign w:val="center"/>
          </w:tcPr>
          <w:p w14:paraId="0F00A13B" w14:textId="77777777" w:rsidR="000F25EF" w:rsidRPr="009F60C9" w:rsidRDefault="000F25EF" w:rsidP="00031159">
            <w:pPr>
              <w:spacing w:line="360" w:lineRule="auto"/>
              <w:jc w:val="center"/>
              <w:rPr>
                <w:sz w:val="16"/>
                <w:szCs w:val="16"/>
                <w:lang w:val="en-GB"/>
              </w:rPr>
            </w:pPr>
            <w:r w:rsidRPr="009F60C9">
              <w:rPr>
                <w:rFonts w:eastAsiaTheme="majorEastAsia"/>
                <w:color w:val="000000" w:themeColor="text1"/>
                <w:sz w:val="16"/>
                <w:szCs w:val="16"/>
                <w:lang w:val="en-GB"/>
              </w:rPr>
              <w:t>CONT</w:t>
            </w:r>
          </w:p>
        </w:tc>
        <w:tc>
          <w:tcPr>
            <w:tcW w:w="975" w:type="dxa"/>
            <w:shd w:val="clear" w:color="auto" w:fill="8EAADB" w:themeFill="accent1" w:themeFillTint="99"/>
            <w:vAlign w:val="center"/>
          </w:tcPr>
          <w:p w14:paraId="26360164" w14:textId="77777777" w:rsidR="000F25EF" w:rsidRPr="009F60C9" w:rsidRDefault="000F25EF" w:rsidP="00031159">
            <w:pPr>
              <w:autoSpaceDE w:val="0"/>
              <w:autoSpaceDN w:val="0"/>
              <w:adjustRightInd w:val="0"/>
              <w:spacing w:line="360" w:lineRule="auto"/>
              <w:jc w:val="center"/>
              <w:outlineLvl w:val="0"/>
              <w:rPr>
                <w:rFonts w:eastAsiaTheme="majorEastAsia"/>
                <w:color w:val="000000" w:themeColor="text1"/>
                <w:sz w:val="16"/>
                <w:szCs w:val="16"/>
                <w:lang w:val="en-GB"/>
              </w:rPr>
            </w:pPr>
            <w:r w:rsidRPr="009F60C9">
              <w:rPr>
                <w:rFonts w:eastAsiaTheme="majorEastAsia"/>
                <w:color w:val="000000" w:themeColor="text1"/>
                <w:sz w:val="16"/>
                <w:szCs w:val="16"/>
                <w:lang w:val="en-GB"/>
              </w:rPr>
              <w:t>INT</w:t>
            </w:r>
          </w:p>
        </w:tc>
        <w:tc>
          <w:tcPr>
            <w:tcW w:w="974" w:type="dxa"/>
            <w:shd w:val="clear" w:color="auto" w:fill="8EAADB" w:themeFill="accent1" w:themeFillTint="99"/>
            <w:vAlign w:val="center"/>
          </w:tcPr>
          <w:p w14:paraId="00E03292" w14:textId="77777777" w:rsidR="000F25EF" w:rsidRPr="009F60C9" w:rsidRDefault="000F25EF" w:rsidP="00031159">
            <w:pPr>
              <w:autoSpaceDE w:val="0"/>
              <w:autoSpaceDN w:val="0"/>
              <w:adjustRightInd w:val="0"/>
              <w:spacing w:line="360" w:lineRule="auto"/>
              <w:jc w:val="center"/>
              <w:outlineLvl w:val="0"/>
              <w:rPr>
                <w:rFonts w:eastAsiaTheme="majorEastAsia"/>
                <w:color w:val="000000" w:themeColor="text1"/>
                <w:sz w:val="16"/>
                <w:szCs w:val="16"/>
                <w:lang w:val="en-GB"/>
              </w:rPr>
            </w:pPr>
            <w:r w:rsidRPr="009F60C9">
              <w:rPr>
                <w:rFonts w:eastAsiaTheme="majorEastAsia"/>
                <w:color w:val="000000" w:themeColor="text1"/>
                <w:sz w:val="16"/>
                <w:szCs w:val="16"/>
                <w:lang w:val="en-GB"/>
              </w:rPr>
              <w:t>INT</w:t>
            </w:r>
          </w:p>
        </w:tc>
        <w:tc>
          <w:tcPr>
            <w:tcW w:w="779" w:type="dxa"/>
            <w:shd w:val="clear" w:color="auto" w:fill="8EAADB" w:themeFill="accent1" w:themeFillTint="99"/>
            <w:vAlign w:val="center"/>
          </w:tcPr>
          <w:p w14:paraId="3400CB54" w14:textId="77777777" w:rsidR="000F25EF" w:rsidRPr="009F60C9" w:rsidRDefault="000F25EF" w:rsidP="00031159">
            <w:pPr>
              <w:autoSpaceDE w:val="0"/>
              <w:autoSpaceDN w:val="0"/>
              <w:adjustRightInd w:val="0"/>
              <w:spacing w:line="360" w:lineRule="auto"/>
              <w:jc w:val="center"/>
              <w:outlineLvl w:val="0"/>
              <w:rPr>
                <w:rFonts w:eastAsiaTheme="majorEastAsia"/>
                <w:color w:val="000000" w:themeColor="text1"/>
                <w:sz w:val="16"/>
                <w:szCs w:val="16"/>
                <w:lang w:val="en-GB"/>
              </w:rPr>
            </w:pPr>
            <w:r w:rsidRPr="009F60C9">
              <w:rPr>
                <w:rFonts w:eastAsiaTheme="majorEastAsia"/>
                <w:color w:val="000000" w:themeColor="text1"/>
                <w:sz w:val="16"/>
                <w:szCs w:val="16"/>
                <w:lang w:val="en-GB"/>
              </w:rPr>
              <w:t>INT</w:t>
            </w:r>
          </w:p>
        </w:tc>
        <w:tc>
          <w:tcPr>
            <w:tcW w:w="779" w:type="dxa"/>
            <w:tcBorders>
              <w:right w:val="single" w:sz="4" w:space="0" w:color="auto"/>
            </w:tcBorders>
            <w:shd w:val="clear" w:color="auto" w:fill="8EAADB" w:themeFill="accent1" w:themeFillTint="99"/>
            <w:vAlign w:val="center"/>
          </w:tcPr>
          <w:p w14:paraId="1D852984" w14:textId="77777777" w:rsidR="000F25EF" w:rsidRPr="009F60C9" w:rsidRDefault="000F25EF" w:rsidP="00031159">
            <w:pPr>
              <w:autoSpaceDE w:val="0"/>
              <w:autoSpaceDN w:val="0"/>
              <w:adjustRightInd w:val="0"/>
              <w:spacing w:line="360" w:lineRule="auto"/>
              <w:jc w:val="center"/>
              <w:outlineLvl w:val="0"/>
              <w:rPr>
                <w:rFonts w:eastAsiaTheme="majorEastAsia"/>
                <w:color w:val="000000" w:themeColor="text1"/>
                <w:sz w:val="16"/>
                <w:szCs w:val="16"/>
                <w:lang w:val="en-GB"/>
              </w:rPr>
            </w:pPr>
            <w:r w:rsidRPr="009F60C9">
              <w:rPr>
                <w:rFonts w:eastAsiaTheme="majorEastAsia"/>
                <w:color w:val="000000" w:themeColor="text1"/>
                <w:sz w:val="16"/>
                <w:szCs w:val="16"/>
                <w:lang w:val="en-GB"/>
              </w:rPr>
              <w:t>INT</w:t>
            </w:r>
          </w:p>
        </w:tc>
        <w:tc>
          <w:tcPr>
            <w:tcW w:w="975" w:type="dxa"/>
            <w:tcBorders>
              <w:right w:val="single" w:sz="4" w:space="0" w:color="auto"/>
            </w:tcBorders>
            <w:shd w:val="clear" w:color="auto" w:fill="8EAADB" w:themeFill="accent1" w:themeFillTint="99"/>
            <w:vAlign w:val="center"/>
          </w:tcPr>
          <w:p w14:paraId="18965D52" w14:textId="77777777" w:rsidR="000F25EF" w:rsidRPr="009F60C9" w:rsidRDefault="000F25EF" w:rsidP="00031159">
            <w:pPr>
              <w:autoSpaceDE w:val="0"/>
              <w:autoSpaceDN w:val="0"/>
              <w:adjustRightInd w:val="0"/>
              <w:spacing w:line="360" w:lineRule="auto"/>
              <w:jc w:val="center"/>
              <w:outlineLvl w:val="0"/>
              <w:rPr>
                <w:rFonts w:eastAsiaTheme="majorEastAsia"/>
                <w:color w:val="000000" w:themeColor="text1"/>
                <w:sz w:val="16"/>
                <w:szCs w:val="16"/>
                <w:lang w:val="en-GB"/>
              </w:rPr>
            </w:pPr>
            <w:r w:rsidRPr="009F60C9">
              <w:rPr>
                <w:rFonts w:eastAsiaTheme="majorEastAsia"/>
                <w:color w:val="000000" w:themeColor="text1"/>
                <w:sz w:val="16"/>
                <w:szCs w:val="16"/>
                <w:lang w:val="en-GB"/>
              </w:rPr>
              <w:t>INT</w:t>
            </w:r>
          </w:p>
        </w:tc>
        <w:tc>
          <w:tcPr>
            <w:tcW w:w="975" w:type="dxa"/>
            <w:tcBorders>
              <w:right w:val="single" w:sz="4" w:space="0" w:color="auto"/>
            </w:tcBorders>
            <w:shd w:val="clear" w:color="auto" w:fill="8EAADB" w:themeFill="accent1" w:themeFillTint="99"/>
            <w:vAlign w:val="center"/>
          </w:tcPr>
          <w:p w14:paraId="5B86E300" w14:textId="77777777" w:rsidR="000F25EF" w:rsidRPr="009F60C9" w:rsidRDefault="000F25EF" w:rsidP="00031159">
            <w:pPr>
              <w:autoSpaceDE w:val="0"/>
              <w:autoSpaceDN w:val="0"/>
              <w:adjustRightInd w:val="0"/>
              <w:spacing w:line="360" w:lineRule="auto"/>
              <w:jc w:val="center"/>
              <w:outlineLvl w:val="0"/>
              <w:rPr>
                <w:rFonts w:eastAsiaTheme="majorEastAsia"/>
                <w:color w:val="000000" w:themeColor="text1"/>
                <w:sz w:val="16"/>
                <w:szCs w:val="16"/>
                <w:lang w:val="en-GB"/>
              </w:rPr>
            </w:pPr>
            <w:r w:rsidRPr="009F60C9">
              <w:rPr>
                <w:rFonts w:eastAsiaTheme="majorEastAsia"/>
                <w:color w:val="000000" w:themeColor="text1"/>
                <w:sz w:val="16"/>
                <w:szCs w:val="16"/>
                <w:lang w:val="en-GB"/>
              </w:rPr>
              <w:t>INT</w:t>
            </w:r>
          </w:p>
        </w:tc>
        <w:tc>
          <w:tcPr>
            <w:tcW w:w="975" w:type="dxa"/>
            <w:tcBorders>
              <w:right w:val="single" w:sz="4" w:space="0" w:color="auto"/>
            </w:tcBorders>
            <w:shd w:val="clear" w:color="auto" w:fill="8EAADB" w:themeFill="accent1" w:themeFillTint="99"/>
            <w:vAlign w:val="center"/>
          </w:tcPr>
          <w:p w14:paraId="60BF4EC7" w14:textId="77777777" w:rsidR="000F25EF" w:rsidRPr="009F60C9" w:rsidRDefault="000F25EF" w:rsidP="00031159">
            <w:pPr>
              <w:autoSpaceDE w:val="0"/>
              <w:autoSpaceDN w:val="0"/>
              <w:adjustRightInd w:val="0"/>
              <w:spacing w:line="360" w:lineRule="auto"/>
              <w:jc w:val="center"/>
              <w:outlineLvl w:val="0"/>
              <w:rPr>
                <w:rFonts w:eastAsiaTheme="majorEastAsia"/>
                <w:color w:val="000000" w:themeColor="text1"/>
                <w:sz w:val="16"/>
                <w:szCs w:val="16"/>
                <w:lang w:val="en-GB"/>
              </w:rPr>
            </w:pPr>
            <w:r w:rsidRPr="009F60C9">
              <w:rPr>
                <w:rFonts w:eastAsiaTheme="majorEastAsia"/>
                <w:color w:val="000000" w:themeColor="text1"/>
                <w:sz w:val="16"/>
                <w:szCs w:val="16"/>
                <w:lang w:val="en-GB"/>
              </w:rPr>
              <w:t>INT</w:t>
            </w:r>
          </w:p>
        </w:tc>
      </w:tr>
      <w:tr w:rsidR="000F25EF" w:rsidRPr="009F60C9" w14:paraId="4B2B3EB2" w14:textId="77777777" w:rsidTr="00031159">
        <w:trPr>
          <w:trHeight w:val="168"/>
        </w:trPr>
        <w:tc>
          <w:tcPr>
            <w:tcW w:w="2304" w:type="dxa"/>
          </w:tcPr>
          <w:p w14:paraId="3590F0C1" w14:textId="77777777" w:rsidR="000F25EF" w:rsidRPr="009F60C9" w:rsidRDefault="000F25EF" w:rsidP="00031159">
            <w:pPr>
              <w:autoSpaceDE w:val="0"/>
              <w:autoSpaceDN w:val="0"/>
              <w:adjustRightInd w:val="0"/>
              <w:spacing w:line="360" w:lineRule="auto"/>
              <w:ind w:left="-109"/>
              <w:outlineLvl w:val="0"/>
              <w:rPr>
                <w:color w:val="000000"/>
                <w:sz w:val="16"/>
                <w:szCs w:val="16"/>
                <w:lang w:val="en-GB" w:eastAsia="en-GB"/>
              </w:rPr>
            </w:pPr>
            <w:proofErr w:type="spellStart"/>
            <w:r w:rsidRPr="009F60C9">
              <w:rPr>
                <w:rFonts w:eastAsiaTheme="majorEastAsia"/>
                <w:bCs/>
                <w:color w:val="000000" w:themeColor="text1"/>
                <w:sz w:val="16"/>
                <w:szCs w:val="16"/>
                <w:lang w:val="en-GB"/>
              </w:rPr>
              <w:t>Ntfonjeni</w:t>
            </w:r>
            <w:proofErr w:type="spellEnd"/>
            <w:r w:rsidRPr="009F60C9">
              <w:rPr>
                <w:rFonts w:eastAsiaTheme="majorEastAsia"/>
                <w:bCs/>
                <w:color w:val="000000" w:themeColor="text1"/>
                <w:sz w:val="16"/>
                <w:szCs w:val="16"/>
                <w:lang w:val="en-GB"/>
              </w:rPr>
              <w:t xml:space="preserve"> C</w:t>
            </w:r>
            <w:r w:rsidRPr="009F60C9">
              <w:rPr>
                <w:color w:val="000000"/>
                <w:sz w:val="16"/>
                <w:szCs w:val="16"/>
                <w:lang w:val="en-GB" w:eastAsia="en-GB"/>
              </w:rPr>
              <w:t>linic</w:t>
            </w:r>
          </w:p>
        </w:tc>
        <w:tc>
          <w:tcPr>
            <w:tcW w:w="1006" w:type="dxa"/>
            <w:shd w:val="clear" w:color="auto" w:fill="D9D9D9" w:themeFill="background1" w:themeFillShade="D9"/>
            <w:vAlign w:val="center"/>
          </w:tcPr>
          <w:p w14:paraId="1470F548" w14:textId="77777777" w:rsidR="000F25EF" w:rsidRPr="009F60C9" w:rsidRDefault="000F25EF" w:rsidP="00031159">
            <w:pPr>
              <w:spacing w:line="360" w:lineRule="auto"/>
              <w:jc w:val="center"/>
              <w:rPr>
                <w:sz w:val="16"/>
                <w:szCs w:val="16"/>
                <w:lang w:val="en-GB"/>
              </w:rPr>
            </w:pPr>
            <w:r w:rsidRPr="009F60C9">
              <w:rPr>
                <w:rFonts w:eastAsiaTheme="majorEastAsia"/>
                <w:color w:val="000000" w:themeColor="text1"/>
                <w:sz w:val="16"/>
                <w:szCs w:val="16"/>
                <w:lang w:val="en-GB"/>
              </w:rPr>
              <w:t>CONT</w:t>
            </w:r>
          </w:p>
        </w:tc>
        <w:tc>
          <w:tcPr>
            <w:tcW w:w="975" w:type="dxa"/>
            <w:shd w:val="clear" w:color="auto" w:fill="8EAADB" w:themeFill="accent1" w:themeFillTint="99"/>
            <w:vAlign w:val="center"/>
          </w:tcPr>
          <w:p w14:paraId="4C7E847A" w14:textId="77777777" w:rsidR="000F25EF" w:rsidRPr="009F60C9" w:rsidRDefault="000F25EF" w:rsidP="00031159">
            <w:pPr>
              <w:autoSpaceDE w:val="0"/>
              <w:autoSpaceDN w:val="0"/>
              <w:adjustRightInd w:val="0"/>
              <w:spacing w:line="360" w:lineRule="auto"/>
              <w:jc w:val="center"/>
              <w:outlineLvl w:val="0"/>
              <w:rPr>
                <w:rFonts w:eastAsiaTheme="majorEastAsia"/>
                <w:color w:val="000000" w:themeColor="text1"/>
                <w:sz w:val="16"/>
                <w:szCs w:val="16"/>
                <w:lang w:val="en-GB"/>
              </w:rPr>
            </w:pPr>
            <w:r w:rsidRPr="009F60C9">
              <w:rPr>
                <w:rFonts w:eastAsiaTheme="majorEastAsia"/>
                <w:color w:val="000000" w:themeColor="text1"/>
                <w:sz w:val="16"/>
                <w:szCs w:val="16"/>
                <w:lang w:val="en-GB"/>
              </w:rPr>
              <w:t>INT</w:t>
            </w:r>
          </w:p>
        </w:tc>
        <w:tc>
          <w:tcPr>
            <w:tcW w:w="974" w:type="dxa"/>
            <w:shd w:val="clear" w:color="auto" w:fill="8EAADB" w:themeFill="accent1" w:themeFillTint="99"/>
            <w:vAlign w:val="center"/>
          </w:tcPr>
          <w:p w14:paraId="2CAD1470" w14:textId="77777777" w:rsidR="000F25EF" w:rsidRPr="009F60C9" w:rsidRDefault="000F25EF" w:rsidP="00031159">
            <w:pPr>
              <w:autoSpaceDE w:val="0"/>
              <w:autoSpaceDN w:val="0"/>
              <w:adjustRightInd w:val="0"/>
              <w:spacing w:line="360" w:lineRule="auto"/>
              <w:jc w:val="center"/>
              <w:outlineLvl w:val="0"/>
              <w:rPr>
                <w:rFonts w:eastAsiaTheme="majorEastAsia"/>
                <w:color w:val="000000" w:themeColor="text1"/>
                <w:sz w:val="16"/>
                <w:szCs w:val="16"/>
                <w:lang w:val="en-GB"/>
              </w:rPr>
            </w:pPr>
            <w:r w:rsidRPr="009F60C9">
              <w:rPr>
                <w:rFonts w:eastAsiaTheme="majorEastAsia"/>
                <w:color w:val="000000" w:themeColor="text1"/>
                <w:sz w:val="16"/>
                <w:szCs w:val="16"/>
                <w:lang w:val="en-GB"/>
              </w:rPr>
              <w:t>INT</w:t>
            </w:r>
          </w:p>
        </w:tc>
        <w:tc>
          <w:tcPr>
            <w:tcW w:w="779" w:type="dxa"/>
            <w:shd w:val="clear" w:color="auto" w:fill="8EAADB" w:themeFill="accent1" w:themeFillTint="99"/>
            <w:vAlign w:val="center"/>
          </w:tcPr>
          <w:p w14:paraId="06F5D78B" w14:textId="77777777" w:rsidR="000F25EF" w:rsidRPr="009F60C9" w:rsidRDefault="000F25EF" w:rsidP="00031159">
            <w:pPr>
              <w:autoSpaceDE w:val="0"/>
              <w:autoSpaceDN w:val="0"/>
              <w:adjustRightInd w:val="0"/>
              <w:spacing w:line="360" w:lineRule="auto"/>
              <w:jc w:val="center"/>
              <w:outlineLvl w:val="0"/>
              <w:rPr>
                <w:rFonts w:eastAsiaTheme="majorEastAsia"/>
                <w:color w:val="000000" w:themeColor="text1"/>
                <w:sz w:val="16"/>
                <w:szCs w:val="16"/>
                <w:lang w:val="en-GB"/>
              </w:rPr>
            </w:pPr>
            <w:r w:rsidRPr="009F60C9">
              <w:rPr>
                <w:rFonts w:eastAsiaTheme="majorEastAsia"/>
                <w:color w:val="000000" w:themeColor="text1"/>
                <w:sz w:val="16"/>
                <w:szCs w:val="16"/>
                <w:lang w:val="en-GB"/>
              </w:rPr>
              <w:t>INT</w:t>
            </w:r>
          </w:p>
        </w:tc>
        <w:tc>
          <w:tcPr>
            <w:tcW w:w="779" w:type="dxa"/>
            <w:tcBorders>
              <w:right w:val="single" w:sz="4" w:space="0" w:color="auto"/>
            </w:tcBorders>
            <w:shd w:val="clear" w:color="auto" w:fill="8EAADB" w:themeFill="accent1" w:themeFillTint="99"/>
            <w:vAlign w:val="center"/>
          </w:tcPr>
          <w:p w14:paraId="205AB495" w14:textId="77777777" w:rsidR="000F25EF" w:rsidRPr="009F60C9" w:rsidRDefault="000F25EF" w:rsidP="00031159">
            <w:pPr>
              <w:autoSpaceDE w:val="0"/>
              <w:autoSpaceDN w:val="0"/>
              <w:adjustRightInd w:val="0"/>
              <w:spacing w:line="360" w:lineRule="auto"/>
              <w:jc w:val="center"/>
              <w:outlineLvl w:val="0"/>
              <w:rPr>
                <w:rFonts w:eastAsiaTheme="majorEastAsia"/>
                <w:color w:val="000000" w:themeColor="text1"/>
                <w:sz w:val="16"/>
                <w:szCs w:val="16"/>
                <w:lang w:val="en-GB"/>
              </w:rPr>
            </w:pPr>
            <w:r w:rsidRPr="009F60C9">
              <w:rPr>
                <w:rFonts w:eastAsiaTheme="majorEastAsia"/>
                <w:color w:val="000000" w:themeColor="text1"/>
                <w:sz w:val="16"/>
                <w:szCs w:val="16"/>
                <w:lang w:val="en-GB"/>
              </w:rPr>
              <w:t>INT</w:t>
            </w:r>
          </w:p>
        </w:tc>
        <w:tc>
          <w:tcPr>
            <w:tcW w:w="975" w:type="dxa"/>
            <w:tcBorders>
              <w:right w:val="single" w:sz="4" w:space="0" w:color="auto"/>
            </w:tcBorders>
            <w:shd w:val="clear" w:color="auto" w:fill="8EAADB" w:themeFill="accent1" w:themeFillTint="99"/>
            <w:vAlign w:val="center"/>
          </w:tcPr>
          <w:p w14:paraId="52CE7DBD" w14:textId="77777777" w:rsidR="000F25EF" w:rsidRPr="009F60C9" w:rsidRDefault="000F25EF" w:rsidP="00031159">
            <w:pPr>
              <w:autoSpaceDE w:val="0"/>
              <w:autoSpaceDN w:val="0"/>
              <w:adjustRightInd w:val="0"/>
              <w:spacing w:line="360" w:lineRule="auto"/>
              <w:jc w:val="center"/>
              <w:outlineLvl w:val="0"/>
              <w:rPr>
                <w:rFonts w:eastAsiaTheme="majorEastAsia"/>
                <w:color w:val="000000" w:themeColor="text1"/>
                <w:sz w:val="16"/>
                <w:szCs w:val="16"/>
                <w:lang w:val="en-GB"/>
              </w:rPr>
            </w:pPr>
            <w:r w:rsidRPr="009F60C9">
              <w:rPr>
                <w:rFonts w:eastAsiaTheme="majorEastAsia"/>
                <w:color w:val="000000" w:themeColor="text1"/>
                <w:sz w:val="16"/>
                <w:szCs w:val="16"/>
                <w:lang w:val="en-GB"/>
              </w:rPr>
              <w:t>INT</w:t>
            </w:r>
          </w:p>
        </w:tc>
        <w:tc>
          <w:tcPr>
            <w:tcW w:w="975" w:type="dxa"/>
            <w:tcBorders>
              <w:right w:val="single" w:sz="4" w:space="0" w:color="auto"/>
            </w:tcBorders>
            <w:shd w:val="clear" w:color="auto" w:fill="8EAADB" w:themeFill="accent1" w:themeFillTint="99"/>
            <w:vAlign w:val="center"/>
          </w:tcPr>
          <w:p w14:paraId="56BA8BAF" w14:textId="77777777" w:rsidR="000F25EF" w:rsidRPr="009F60C9" w:rsidRDefault="000F25EF" w:rsidP="00031159">
            <w:pPr>
              <w:autoSpaceDE w:val="0"/>
              <w:autoSpaceDN w:val="0"/>
              <w:adjustRightInd w:val="0"/>
              <w:spacing w:line="360" w:lineRule="auto"/>
              <w:jc w:val="center"/>
              <w:outlineLvl w:val="0"/>
              <w:rPr>
                <w:rFonts w:eastAsiaTheme="majorEastAsia"/>
                <w:color w:val="000000" w:themeColor="text1"/>
                <w:sz w:val="16"/>
                <w:szCs w:val="16"/>
                <w:lang w:val="en-GB"/>
              </w:rPr>
            </w:pPr>
            <w:r w:rsidRPr="009F60C9">
              <w:rPr>
                <w:rFonts w:eastAsiaTheme="majorEastAsia"/>
                <w:color w:val="000000" w:themeColor="text1"/>
                <w:sz w:val="16"/>
                <w:szCs w:val="16"/>
                <w:lang w:val="en-GB"/>
              </w:rPr>
              <w:t>INT</w:t>
            </w:r>
          </w:p>
        </w:tc>
        <w:tc>
          <w:tcPr>
            <w:tcW w:w="975" w:type="dxa"/>
            <w:tcBorders>
              <w:right w:val="single" w:sz="4" w:space="0" w:color="auto"/>
            </w:tcBorders>
            <w:shd w:val="clear" w:color="auto" w:fill="8EAADB" w:themeFill="accent1" w:themeFillTint="99"/>
            <w:vAlign w:val="center"/>
          </w:tcPr>
          <w:p w14:paraId="4D8D921D" w14:textId="77777777" w:rsidR="000F25EF" w:rsidRPr="009F60C9" w:rsidRDefault="000F25EF" w:rsidP="00031159">
            <w:pPr>
              <w:autoSpaceDE w:val="0"/>
              <w:autoSpaceDN w:val="0"/>
              <w:adjustRightInd w:val="0"/>
              <w:spacing w:line="360" w:lineRule="auto"/>
              <w:jc w:val="center"/>
              <w:outlineLvl w:val="0"/>
              <w:rPr>
                <w:rFonts w:eastAsiaTheme="majorEastAsia"/>
                <w:color w:val="000000" w:themeColor="text1"/>
                <w:sz w:val="16"/>
                <w:szCs w:val="16"/>
                <w:lang w:val="en-GB"/>
              </w:rPr>
            </w:pPr>
            <w:r w:rsidRPr="009F60C9">
              <w:rPr>
                <w:rFonts w:eastAsiaTheme="majorEastAsia"/>
                <w:color w:val="000000" w:themeColor="text1"/>
                <w:sz w:val="16"/>
                <w:szCs w:val="16"/>
                <w:lang w:val="en-GB"/>
              </w:rPr>
              <w:t>INT</w:t>
            </w:r>
          </w:p>
        </w:tc>
      </w:tr>
      <w:tr w:rsidR="000F25EF" w:rsidRPr="009F60C9" w14:paraId="7A86E3C5" w14:textId="77777777" w:rsidTr="00031159">
        <w:trPr>
          <w:trHeight w:val="154"/>
        </w:trPr>
        <w:tc>
          <w:tcPr>
            <w:tcW w:w="2304" w:type="dxa"/>
          </w:tcPr>
          <w:p w14:paraId="55111C89" w14:textId="77777777" w:rsidR="000F25EF" w:rsidRPr="009F60C9" w:rsidRDefault="000F25EF" w:rsidP="00031159">
            <w:pPr>
              <w:autoSpaceDE w:val="0"/>
              <w:autoSpaceDN w:val="0"/>
              <w:adjustRightInd w:val="0"/>
              <w:spacing w:line="360" w:lineRule="auto"/>
              <w:ind w:left="-109"/>
              <w:outlineLvl w:val="0"/>
              <w:rPr>
                <w:color w:val="000000"/>
                <w:sz w:val="16"/>
                <w:szCs w:val="16"/>
                <w:lang w:val="en-GB" w:eastAsia="en-GB"/>
              </w:rPr>
            </w:pPr>
            <w:proofErr w:type="spellStart"/>
            <w:r w:rsidRPr="009F60C9">
              <w:rPr>
                <w:color w:val="000000"/>
                <w:sz w:val="16"/>
                <w:szCs w:val="16"/>
                <w:lang w:val="en-GB" w:eastAsia="en-GB"/>
              </w:rPr>
              <w:t>Bulandzeni</w:t>
            </w:r>
            <w:proofErr w:type="spellEnd"/>
            <w:r w:rsidRPr="009F60C9">
              <w:rPr>
                <w:color w:val="000000"/>
                <w:sz w:val="16"/>
                <w:szCs w:val="16"/>
                <w:lang w:val="en-GB" w:eastAsia="en-GB"/>
              </w:rPr>
              <w:t xml:space="preserve"> Clinic</w:t>
            </w:r>
          </w:p>
        </w:tc>
        <w:tc>
          <w:tcPr>
            <w:tcW w:w="1006" w:type="dxa"/>
            <w:shd w:val="clear" w:color="auto" w:fill="D9D9D9" w:themeFill="background1" w:themeFillShade="D9"/>
            <w:vAlign w:val="center"/>
          </w:tcPr>
          <w:p w14:paraId="0C80A6DD" w14:textId="77777777" w:rsidR="000F25EF" w:rsidRPr="009F60C9" w:rsidRDefault="000F25EF" w:rsidP="00031159">
            <w:pPr>
              <w:spacing w:line="360" w:lineRule="auto"/>
              <w:jc w:val="center"/>
              <w:rPr>
                <w:sz w:val="16"/>
                <w:szCs w:val="16"/>
                <w:lang w:val="en-GB"/>
              </w:rPr>
            </w:pPr>
            <w:r w:rsidRPr="009F60C9">
              <w:rPr>
                <w:rFonts w:eastAsiaTheme="majorEastAsia"/>
                <w:color w:val="000000" w:themeColor="text1"/>
                <w:sz w:val="16"/>
                <w:szCs w:val="16"/>
                <w:lang w:val="en-GB"/>
              </w:rPr>
              <w:t>CONT</w:t>
            </w:r>
          </w:p>
        </w:tc>
        <w:tc>
          <w:tcPr>
            <w:tcW w:w="975" w:type="dxa"/>
            <w:shd w:val="clear" w:color="auto" w:fill="D9D9D9" w:themeFill="background1" w:themeFillShade="D9"/>
            <w:vAlign w:val="center"/>
          </w:tcPr>
          <w:p w14:paraId="3E8E1FC3" w14:textId="77777777" w:rsidR="000F25EF" w:rsidRPr="009F60C9" w:rsidRDefault="000F25EF" w:rsidP="00031159">
            <w:pPr>
              <w:spacing w:line="360" w:lineRule="auto"/>
              <w:jc w:val="center"/>
              <w:rPr>
                <w:sz w:val="16"/>
                <w:szCs w:val="16"/>
                <w:lang w:val="en-GB"/>
              </w:rPr>
            </w:pPr>
            <w:r w:rsidRPr="009F60C9">
              <w:rPr>
                <w:rFonts w:eastAsiaTheme="majorEastAsia"/>
                <w:color w:val="000000" w:themeColor="text1"/>
                <w:sz w:val="16"/>
                <w:szCs w:val="16"/>
                <w:lang w:val="en-GB"/>
              </w:rPr>
              <w:t>CONT</w:t>
            </w:r>
          </w:p>
        </w:tc>
        <w:tc>
          <w:tcPr>
            <w:tcW w:w="974" w:type="dxa"/>
            <w:shd w:val="clear" w:color="auto" w:fill="8EAADB" w:themeFill="accent1" w:themeFillTint="99"/>
            <w:vAlign w:val="center"/>
          </w:tcPr>
          <w:p w14:paraId="6D654D82" w14:textId="77777777" w:rsidR="000F25EF" w:rsidRPr="009F60C9" w:rsidRDefault="000F25EF" w:rsidP="00031159">
            <w:pPr>
              <w:autoSpaceDE w:val="0"/>
              <w:autoSpaceDN w:val="0"/>
              <w:adjustRightInd w:val="0"/>
              <w:spacing w:line="360" w:lineRule="auto"/>
              <w:jc w:val="center"/>
              <w:outlineLvl w:val="0"/>
              <w:rPr>
                <w:rFonts w:eastAsiaTheme="majorEastAsia"/>
                <w:color w:val="000000" w:themeColor="text1"/>
                <w:sz w:val="16"/>
                <w:szCs w:val="16"/>
                <w:lang w:val="en-GB"/>
              </w:rPr>
            </w:pPr>
            <w:r w:rsidRPr="009F60C9">
              <w:rPr>
                <w:rFonts w:eastAsiaTheme="majorEastAsia"/>
                <w:color w:val="000000" w:themeColor="text1"/>
                <w:sz w:val="16"/>
                <w:szCs w:val="16"/>
                <w:lang w:val="en-GB"/>
              </w:rPr>
              <w:t>INT</w:t>
            </w:r>
          </w:p>
        </w:tc>
        <w:tc>
          <w:tcPr>
            <w:tcW w:w="779" w:type="dxa"/>
            <w:shd w:val="clear" w:color="auto" w:fill="8EAADB" w:themeFill="accent1" w:themeFillTint="99"/>
            <w:vAlign w:val="center"/>
          </w:tcPr>
          <w:p w14:paraId="625B73FA" w14:textId="77777777" w:rsidR="000F25EF" w:rsidRPr="009F60C9" w:rsidRDefault="000F25EF" w:rsidP="00031159">
            <w:pPr>
              <w:autoSpaceDE w:val="0"/>
              <w:autoSpaceDN w:val="0"/>
              <w:adjustRightInd w:val="0"/>
              <w:spacing w:line="360" w:lineRule="auto"/>
              <w:jc w:val="center"/>
              <w:outlineLvl w:val="0"/>
              <w:rPr>
                <w:rFonts w:eastAsiaTheme="majorEastAsia"/>
                <w:color w:val="000000" w:themeColor="text1"/>
                <w:sz w:val="16"/>
                <w:szCs w:val="16"/>
                <w:lang w:val="en-GB"/>
              </w:rPr>
            </w:pPr>
            <w:r w:rsidRPr="009F60C9">
              <w:rPr>
                <w:rFonts w:eastAsiaTheme="majorEastAsia"/>
                <w:color w:val="000000" w:themeColor="text1"/>
                <w:sz w:val="16"/>
                <w:szCs w:val="16"/>
                <w:lang w:val="en-GB"/>
              </w:rPr>
              <w:t>INT</w:t>
            </w:r>
          </w:p>
        </w:tc>
        <w:tc>
          <w:tcPr>
            <w:tcW w:w="779" w:type="dxa"/>
            <w:tcBorders>
              <w:right w:val="single" w:sz="4" w:space="0" w:color="auto"/>
            </w:tcBorders>
            <w:shd w:val="clear" w:color="auto" w:fill="8EAADB" w:themeFill="accent1" w:themeFillTint="99"/>
            <w:vAlign w:val="center"/>
          </w:tcPr>
          <w:p w14:paraId="697D327B" w14:textId="77777777" w:rsidR="000F25EF" w:rsidRPr="009F60C9" w:rsidRDefault="000F25EF" w:rsidP="00031159">
            <w:pPr>
              <w:autoSpaceDE w:val="0"/>
              <w:autoSpaceDN w:val="0"/>
              <w:adjustRightInd w:val="0"/>
              <w:spacing w:line="360" w:lineRule="auto"/>
              <w:jc w:val="center"/>
              <w:outlineLvl w:val="0"/>
              <w:rPr>
                <w:rFonts w:eastAsiaTheme="majorEastAsia"/>
                <w:color w:val="000000" w:themeColor="text1"/>
                <w:sz w:val="16"/>
                <w:szCs w:val="16"/>
                <w:lang w:val="en-GB"/>
              </w:rPr>
            </w:pPr>
            <w:r w:rsidRPr="009F60C9">
              <w:rPr>
                <w:rFonts w:eastAsiaTheme="majorEastAsia"/>
                <w:color w:val="000000" w:themeColor="text1"/>
                <w:sz w:val="16"/>
                <w:szCs w:val="16"/>
                <w:lang w:val="en-GB"/>
              </w:rPr>
              <w:t>INT</w:t>
            </w:r>
          </w:p>
        </w:tc>
        <w:tc>
          <w:tcPr>
            <w:tcW w:w="975" w:type="dxa"/>
            <w:tcBorders>
              <w:right w:val="single" w:sz="4" w:space="0" w:color="auto"/>
            </w:tcBorders>
            <w:shd w:val="clear" w:color="auto" w:fill="8EAADB" w:themeFill="accent1" w:themeFillTint="99"/>
            <w:vAlign w:val="center"/>
          </w:tcPr>
          <w:p w14:paraId="030691C6" w14:textId="77777777" w:rsidR="000F25EF" w:rsidRPr="009F60C9" w:rsidRDefault="000F25EF" w:rsidP="00031159">
            <w:pPr>
              <w:autoSpaceDE w:val="0"/>
              <w:autoSpaceDN w:val="0"/>
              <w:adjustRightInd w:val="0"/>
              <w:spacing w:line="360" w:lineRule="auto"/>
              <w:jc w:val="center"/>
              <w:outlineLvl w:val="0"/>
              <w:rPr>
                <w:rFonts w:eastAsiaTheme="majorEastAsia"/>
                <w:color w:val="000000" w:themeColor="text1"/>
                <w:sz w:val="16"/>
                <w:szCs w:val="16"/>
                <w:lang w:val="en-GB"/>
              </w:rPr>
            </w:pPr>
            <w:r w:rsidRPr="009F60C9">
              <w:rPr>
                <w:rFonts w:eastAsiaTheme="majorEastAsia"/>
                <w:color w:val="000000" w:themeColor="text1"/>
                <w:sz w:val="16"/>
                <w:szCs w:val="16"/>
                <w:lang w:val="en-GB"/>
              </w:rPr>
              <w:t>INT</w:t>
            </w:r>
          </w:p>
        </w:tc>
        <w:tc>
          <w:tcPr>
            <w:tcW w:w="975" w:type="dxa"/>
            <w:tcBorders>
              <w:right w:val="single" w:sz="4" w:space="0" w:color="auto"/>
            </w:tcBorders>
            <w:shd w:val="clear" w:color="auto" w:fill="8EAADB" w:themeFill="accent1" w:themeFillTint="99"/>
            <w:vAlign w:val="center"/>
          </w:tcPr>
          <w:p w14:paraId="2E12FA6D" w14:textId="77777777" w:rsidR="000F25EF" w:rsidRPr="009F60C9" w:rsidRDefault="000F25EF" w:rsidP="00031159">
            <w:pPr>
              <w:autoSpaceDE w:val="0"/>
              <w:autoSpaceDN w:val="0"/>
              <w:adjustRightInd w:val="0"/>
              <w:spacing w:line="360" w:lineRule="auto"/>
              <w:jc w:val="center"/>
              <w:outlineLvl w:val="0"/>
              <w:rPr>
                <w:rFonts w:eastAsiaTheme="majorEastAsia"/>
                <w:color w:val="000000" w:themeColor="text1"/>
                <w:sz w:val="16"/>
                <w:szCs w:val="16"/>
                <w:lang w:val="en-GB"/>
              </w:rPr>
            </w:pPr>
            <w:r w:rsidRPr="009F60C9">
              <w:rPr>
                <w:rFonts w:eastAsiaTheme="majorEastAsia"/>
                <w:color w:val="000000" w:themeColor="text1"/>
                <w:sz w:val="16"/>
                <w:szCs w:val="16"/>
                <w:lang w:val="en-GB"/>
              </w:rPr>
              <w:t>INT</w:t>
            </w:r>
          </w:p>
        </w:tc>
        <w:tc>
          <w:tcPr>
            <w:tcW w:w="975" w:type="dxa"/>
            <w:tcBorders>
              <w:right w:val="single" w:sz="4" w:space="0" w:color="auto"/>
            </w:tcBorders>
            <w:shd w:val="clear" w:color="auto" w:fill="8EAADB" w:themeFill="accent1" w:themeFillTint="99"/>
            <w:vAlign w:val="center"/>
          </w:tcPr>
          <w:p w14:paraId="291DE27F" w14:textId="77777777" w:rsidR="000F25EF" w:rsidRPr="009F60C9" w:rsidRDefault="000F25EF" w:rsidP="00031159">
            <w:pPr>
              <w:autoSpaceDE w:val="0"/>
              <w:autoSpaceDN w:val="0"/>
              <w:adjustRightInd w:val="0"/>
              <w:spacing w:line="360" w:lineRule="auto"/>
              <w:jc w:val="center"/>
              <w:outlineLvl w:val="0"/>
              <w:rPr>
                <w:rFonts w:eastAsiaTheme="majorEastAsia"/>
                <w:color w:val="000000" w:themeColor="text1"/>
                <w:sz w:val="16"/>
                <w:szCs w:val="16"/>
                <w:lang w:val="en-GB"/>
              </w:rPr>
            </w:pPr>
            <w:r w:rsidRPr="009F60C9">
              <w:rPr>
                <w:rFonts w:eastAsiaTheme="majorEastAsia"/>
                <w:color w:val="000000" w:themeColor="text1"/>
                <w:sz w:val="16"/>
                <w:szCs w:val="16"/>
                <w:lang w:val="en-GB"/>
              </w:rPr>
              <w:t>INT</w:t>
            </w:r>
          </w:p>
        </w:tc>
      </w:tr>
      <w:tr w:rsidR="000F25EF" w:rsidRPr="009F60C9" w14:paraId="796325C5" w14:textId="77777777" w:rsidTr="00031159">
        <w:trPr>
          <w:trHeight w:val="140"/>
        </w:trPr>
        <w:tc>
          <w:tcPr>
            <w:tcW w:w="2304" w:type="dxa"/>
          </w:tcPr>
          <w:p w14:paraId="23DD0144" w14:textId="77777777" w:rsidR="000F25EF" w:rsidRPr="009F60C9" w:rsidRDefault="000F25EF" w:rsidP="00031159">
            <w:pPr>
              <w:autoSpaceDE w:val="0"/>
              <w:autoSpaceDN w:val="0"/>
              <w:adjustRightInd w:val="0"/>
              <w:spacing w:line="360" w:lineRule="auto"/>
              <w:ind w:left="-109"/>
              <w:outlineLvl w:val="0"/>
              <w:rPr>
                <w:color w:val="000000"/>
                <w:sz w:val="16"/>
                <w:szCs w:val="16"/>
                <w:lang w:val="en-GB" w:eastAsia="en-GB"/>
              </w:rPr>
            </w:pPr>
            <w:proofErr w:type="spellStart"/>
            <w:r w:rsidRPr="009F60C9">
              <w:rPr>
                <w:color w:val="000000"/>
                <w:sz w:val="16"/>
                <w:szCs w:val="16"/>
                <w:lang w:val="en-GB" w:eastAsia="en-GB"/>
              </w:rPr>
              <w:t>Ndzingeni</w:t>
            </w:r>
            <w:proofErr w:type="spellEnd"/>
            <w:r w:rsidRPr="009F60C9">
              <w:rPr>
                <w:color w:val="000000"/>
                <w:sz w:val="16"/>
                <w:szCs w:val="16"/>
                <w:lang w:val="en-GB" w:eastAsia="en-GB"/>
              </w:rPr>
              <w:t xml:space="preserve"> Clinic</w:t>
            </w:r>
          </w:p>
        </w:tc>
        <w:tc>
          <w:tcPr>
            <w:tcW w:w="1006" w:type="dxa"/>
            <w:shd w:val="clear" w:color="auto" w:fill="D9D9D9" w:themeFill="background1" w:themeFillShade="D9"/>
            <w:vAlign w:val="center"/>
          </w:tcPr>
          <w:p w14:paraId="70865B8D" w14:textId="77777777" w:rsidR="000F25EF" w:rsidRPr="009F60C9" w:rsidRDefault="000F25EF" w:rsidP="00031159">
            <w:pPr>
              <w:spacing w:line="360" w:lineRule="auto"/>
              <w:jc w:val="center"/>
              <w:rPr>
                <w:sz w:val="16"/>
                <w:szCs w:val="16"/>
                <w:lang w:val="en-GB"/>
              </w:rPr>
            </w:pPr>
            <w:r w:rsidRPr="009F60C9">
              <w:rPr>
                <w:rFonts w:eastAsiaTheme="majorEastAsia"/>
                <w:color w:val="000000" w:themeColor="text1"/>
                <w:sz w:val="16"/>
                <w:szCs w:val="16"/>
                <w:lang w:val="en-GB"/>
              </w:rPr>
              <w:t>CONT</w:t>
            </w:r>
          </w:p>
        </w:tc>
        <w:tc>
          <w:tcPr>
            <w:tcW w:w="975" w:type="dxa"/>
            <w:shd w:val="clear" w:color="auto" w:fill="D9D9D9" w:themeFill="background1" w:themeFillShade="D9"/>
            <w:vAlign w:val="center"/>
          </w:tcPr>
          <w:p w14:paraId="6D7325DC" w14:textId="77777777" w:rsidR="000F25EF" w:rsidRPr="009F60C9" w:rsidRDefault="000F25EF" w:rsidP="00031159">
            <w:pPr>
              <w:spacing w:line="360" w:lineRule="auto"/>
              <w:jc w:val="center"/>
              <w:rPr>
                <w:sz w:val="16"/>
                <w:szCs w:val="16"/>
                <w:lang w:val="en-GB"/>
              </w:rPr>
            </w:pPr>
            <w:r w:rsidRPr="009F60C9">
              <w:rPr>
                <w:rFonts w:eastAsiaTheme="majorEastAsia"/>
                <w:color w:val="000000" w:themeColor="text1"/>
                <w:sz w:val="16"/>
                <w:szCs w:val="16"/>
                <w:lang w:val="en-GB"/>
              </w:rPr>
              <w:t>CONT</w:t>
            </w:r>
          </w:p>
        </w:tc>
        <w:tc>
          <w:tcPr>
            <w:tcW w:w="974" w:type="dxa"/>
            <w:shd w:val="clear" w:color="auto" w:fill="8EAADB" w:themeFill="accent1" w:themeFillTint="99"/>
            <w:vAlign w:val="center"/>
          </w:tcPr>
          <w:p w14:paraId="758049A7" w14:textId="77777777" w:rsidR="000F25EF" w:rsidRPr="009F60C9" w:rsidRDefault="000F25EF" w:rsidP="00031159">
            <w:pPr>
              <w:autoSpaceDE w:val="0"/>
              <w:autoSpaceDN w:val="0"/>
              <w:adjustRightInd w:val="0"/>
              <w:spacing w:line="360" w:lineRule="auto"/>
              <w:jc w:val="center"/>
              <w:outlineLvl w:val="0"/>
              <w:rPr>
                <w:rFonts w:eastAsiaTheme="majorEastAsia"/>
                <w:color w:val="000000" w:themeColor="text1"/>
                <w:sz w:val="16"/>
                <w:szCs w:val="16"/>
                <w:lang w:val="en-GB"/>
              </w:rPr>
            </w:pPr>
            <w:r w:rsidRPr="009F60C9">
              <w:rPr>
                <w:rFonts w:eastAsiaTheme="majorEastAsia"/>
                <w:color w:val="000000" w:themeColor="text1"/>
                <w:sz w:val="16"/>
                <w:szCs w:val="16"/>
                <w:lang w:val="en-GB"/>
              </w:rPr>
              <w:t>INT</w:t>
            </w:r>
          </w:p>
        </w:tc>
        <w:tc>
          <w:tcPr>
            <w:tcW w:w="779" w:type="dxa"/>
            <w:shd w:val="clear" w:color="auto" w:fill="8EAADB" w:themeFill="accent1" w:themeFillTint="99"/>
            <w:vAlign w:val="center"/>
          </w:tcPr>
          <w:p w14:paraId="559678B0" w14:textId="77777777" w:rsidR="000F25EF" w:rsidRPr="009F60C9" w:rsidRDefault="000F25EF" w:rsidP="00031159">
            <w:pPr>
              <w:autoSpaceDE w:val="0"/>
              <w:autoSpaceDN w:val="0"/>
              <w:adjustRightInd w:val="0"/>
              <w:spacing w:line="360" w:lineRule="auto"/>
              <w:jc w:val="center"/>
              <w:outlineLvl w:val="0"/>
              <w:rPr>
                <w:rFonts w:eastAsiaTheme="majorEastAsia"/>
                <w:color w:val="000000" w:themeColor="text1"/>
                <w:sz w:val="16"/>
                <w:szCs w:val="16"/>
                <w:lang w:val="en-GB"/>
              </w:rPr>
            </w:pPr>
            <w:r w:rsidRPr="009F60C9">
              <w:rPr>
                <w:rFonts w:eastAsiaTheme="majorEastAsia"/>
                <w:color w:val="000000" w:themeColor="text1"/>
                <w:sz w:val="16"/>
                <w:szCs w:val="16"/>
                <w:lang w:val="en-GB"/>
              </w:rPr>
              <w:t>INT</w:t>
            </w:r>
          </w:p>
        </w:tc>
        <w:tc>
          <w:tcPr>
            <w:tcW w:w="779" w:type="dxa"/>
            <w:tcBorders>
              <w:right w:val="single" w:sz="4" w:space="0" w:color="auto"/>
            </w:tcBorders>
            <w:shd w:val="clear" w:color="auto" w:fill="8EAADB" w:themeFill="accent1" w:themeFillTint="99"/>
            <w:vAlign w:val="center"/>
          </w:tcPr>
          <w:p w14:paraId="08A0DCDF" w14:textId="77777777" w:rsidR="000F25EF" w:rsidRPr="009F60C9" w:rsidRDefault="000F25EF" w:rsidP="00031159">
            <w:pPr>
              <w:autoSpaceDE w:val="0"/>
              <w:autoSpaceDN w:val="0"/>
              <w:adjustRightInd w:val="0"/>
              <w:spacing w:line="360" w:lineRule="auto"/>
              <w:jc w:val="center"/>
              <w:outlineLvl w:val="0"/>
              <w:rPr>
                <w:rFonts w:eastAsiaTheme="majorEastAsia"/>
                <w:color w:val="000000" w:themeColor="text1"/>
                <w:sz w:val="16"/>
                <w:szCs w:val="16"/>
                <w:lang w:val="en-GB"/>
              </w:rPr>
            </w:pPr>
            <w:r w:rsidRPr="009F60C9">
              <w:rPr>
                <w:rFonts w:eastAsiaTheme="majorEastAsia"/>
                <w:color w:val="000000" w:themeColor="text1"/>
                <w:sz w:val="16"/>
                <w:szCs w:val="16"/>
                <w:lang w:val="en-GB"/>
              </w:rPr>
              <w:t>INT</w:t>
            </w:r>
          </w:p>
        </w:tc>
        <w:tc>
          <w:tcPr>
            <w:tcW w:w="975" w:type="dxa"/>
            <w:tcBorders>
              <w:right w:val="single" w:sz="4" w:space="0" w:color="auto"/>
            </w:tcBorders>
            <w:shd w:val="clear" w:color="auto" w:fill="8EAADB" w:themeFill="accent1" w:themeFillTint="99"/>
            <w:vAlign w:val="center"/>
          </w:tcPr>
          <w:p w14:paraId="1E45FDD4" w14:textId="77777777" w:rsidR="000F25EF" w:rsidRPr="009F60C9" w:rsidRDefault="000F25EF" w:rsidP="00031159">
            <w:pPr>
              <w:autoSpaceDE w:val="0"/>
              <w:autoSpaceDN w:val="0"/>
              <w:adjustRightInd w:val="0"/>
              <w:spacing w:line="360" w:lineRule="auto"/>
              <w:jc w:val="center"/>
              <w:outlineLvl w:val="0"/>
              <w:rPr>
                <w:rFonts w:eastAsiaTheme="majorEastAsia"/>
                <w:color w:val="000000" w:themeColor="text1"/>
                <w:sz w:val="16"/>
                <w:szCs w:val="16"/>
                <w:lang w:val="en-GB"/>
              </w:rPr>
            </w:pPr>
            <w:r w:rsidRPr="009F60C9">
              <w:rPr>
                <w:rFonts w:eastAsiaTheme="majorEastAsia"/>
                <w:color w:val="000000" w:themeColor="text1"/>
                <w:sz w:val="16"/>
                <w:szCs w:val="16"/>
                <w:lang w:val="en-GB"/>
              </w:rPr>
              <w:t>INT</w:t>
            </w:r>
          </w:p>
        </w:tc>
        <w:tc>
          <w:tcPr>
            <w:tcW w:w="975" w:type="dxa"/>
            <w:tcBorders>
              <w:right w:val="single" w:sz="4" w:space="0" w:color="auto"/>
            </w:tcBorders>
            <w:shd w:val="clear" w:color="auto" w:fill="8EAADB" w:themeFill="accent1" w:themeFillTint="99"/>
            <w:vAlign w:val="center"/>
          </w:tcPr>
          <w:p w14:paraId="7E2764EF" w14:textId="77777777" w:rsidR="000F25EF" w:rsidRPr="009F60C9" w:rsidRDefault="000F25EF" w:rsidP="00031159">
            <w:pPr>
              <w:autoSpaceDE w:val="0"/>
              <w:autoSpaceDN w:val="0"/>
              <w:adjustRightInd w:val="0"/>
              <w:spacing w:line="360" w:lineRule="auto"/>
              <w:jc w:val="center"/>
              <w:outlineLvl w:val="0"/>
              <w:rPr>
                <w:rFonts w:eastAsiaTheme="majorEastAsia"/>
                <w:color w:val="000000" w:themeColor="text1"/>
                <w:sz w:val="16"/>
                <w:szCs w:val="16"/>
                <w:lang w:val="en-GB"/>
              </w:rPr>
            </w:pPr>
            <w:r w:rsidRPr="009F60C9">
              <w:rPr>
                <w:rFonts w:eastAsiaTheme="majorEastAsia"/>
                <w:color w:val="000000" w:themeColor="text1"/>
                <w:sz w:val="16"/>
                <w:szCs w:val="16"/>
                <w:lang w:val="en-GB"/>
              </w:rPr>
              <w:t>INT</w:t>
            </w:r>
          </w:p>
        </w:tc>
        <w:tc>
          <w:tcPr>
            <w:tcW w:w="975" w:type="dxa"/>
            <w:tcBorders>
              <w:right w:val="single" w:sz="4" w:space="0" w:color="auto"/>
            </w:tcBorders>
            <w:shd w:val="clear" w:color="auto" w:fill="8EAADB" w:themeFill="accent1" w:themeFillTint="99"/>
            <w:vAlign w:val="center"/>
          </w:tcPr>
          <w:p w14:paraId="48582A7F" w14:textId="77777777" w:rsidR="000F25EF" w:rsidRPr="009F60C9" w:rsidRDefault="000F25EF" w:rsidP="00031159">
            <w:pPr>
              <w:autoSpaceDE w:val="0"/>
              <w:autoSpaceDN w:val="0"/>
              <w:adjustRightInd w:val="0"/>
              <w:spacing w:line="360" w:lineRule="auto"/>
              <w:jc w:val="center"/>
              <w:outlineLvl w:val="0"/>
              <w:rPr>
                <w:rFonts w:eastAsiaTheme="majorEastAsia"/>
                <w:color w:val="000000" w:themeColor="text1"/>
                <w:sz w:val="16"/>
                <w:szCs w:val="16"/>
                <w:lang w:val="en-GB"/>
              </w:rPr>
            </w:pPr>
            <w:r w:rsidRPr="009F60C9">
              <w:rPr>
                <w:rFonts w:eastAsiaTheme="majorEastAsia"/>
                <w:color w:val="000000" w:themeColor="text1"/>
                <w:sz w:val="16"/>
                <w:szCs w:val="16"/>
                <w:lang w:val="en-GB"/>
              </w:rPr>
              <w:t>INT</w:t>
            </w:r>
          </w:p>
        </w:tc>
      </w:tr>
      <w:tr w:rsidR="000F25EF" w:rsidRPr="009F60C9" w14:paraId="7C7D2B0A" w14:textId="77777777" w:rsidTr="00031159">
        <w:trPr>
          <w:trHeight w:val="144"/>
        </w:trPr>
        <w:tc>
          <w:tcPr>
            <w:tcW w:w="2304" w:type="dxa"/>
          </w:tcPr>
          <w:p w14:paraId="6BACFC63" w14:textId="77777777" w:rsidR="000F25EF" w:rsidRPr="009F60C9" w:rsidRDefault="000F25EF" w:rsidP="00031159">
            <w:pPr>
              <w:autoSpaceDE w:val="0"/>
              <w:autoSpaceDN w:val="0"/>
              <w:adjustRightInd w:val="0"/>
              <w:spacing w:line="360" w:lineRule="auto"/>
              <w:ind w:left="-109"/>
              <w:outlineLvl w:val="0"/>
              <w:rPr>
                <w:color w:val="000000"/>
                <w:sz w:val="16"/>
                <w:szCs w:val="16"/>
                <w:lang w:val="en-GB" w:eastAsia="en-GB"/>
              </w:rPr>
            </w:pPr>
            <w:proofErr w:type="spellStart"/>
            <w:r w:rsidRPr="009F60C9">
              <w:rPr>
                <w:color w:val="000000"/>
                <w:sz w:val="16"/>
                <w:szCs w:val="16"/>
                <w:lang w:val="en-GB" w:eastAsia="en-GB"/>
              </w:rPr>
              <w:t>Maguga</w:t>
            </w:r>
            <w:proofErr w:type="spellEnd"/>
            <w:r w:rsidRPr="009F60C9">
              <w:rPr>
                <w:color w:val="000000"/>
                <w:sz w:val="16"/>
                <w:szCs w:val="16"/>
                <w:lang w:val="en-GB" w:eastAsia="en-GB"/>
              </w:rPr>
              <w:t xml:space="preserve"> Clinic</w:t>
            </w:r>
          </w:p>
        </w:tc>
        <w:tc>
          <w:tcPr>
            <w:tcW w:w="1006" w:type="dxa"/>
            <w:shd w:val="clear" w:color="auto" w:fill="D9D9D9" w:themeFill="background1" w:themeFillShade="D9"/>
            <w:vAlign w:val="center"/>
          </w:tcPr>
          <w:p w14:paraId="665B4BB0" w14:textId="77777777" w:rsidR="000F25EF" w:rsidRPr="009F60C9" w:rsidRDefault="000F25EF" w:rsidP="00031159">
            <w:pPr>
              <w:spacing w:line="360" w:lineRule="auto"/>
              <w:jc w:val="center"/>
              <w:rPr>
                <w:sz w:val="16"/>
                <w:szCs w:val="16"/>
                <w:lang w:val="en-GB"/>
              </w:rPr>
            </w:pPr>
            <w:r w:rsidRPr="009F60C9">
              <w:rPr>
                <w:rFonts w:eastAsiaTheme="majorEastAsia"/>
                <w:color w:val="000000" w:themeColor="text1"/>
                <w:sz w:val="16"/>
                <w:szCs w:val="16"/>
                <w:lang w:val="en-GB"/>
              </w:rPr>
              <w:t>CONT</w:t>
            </w:r>
          </w:p>
        </w:tc>
        <w:tc>
          <w:tcPr>
            <w:tcW w:w="975" w:type="dxa"/>
            <w:shd w:val="clear" w:color="auto" w:fill="D9D9D9" w:themeFill="background1" w:themeFillShade="D9"/>
            <w:vAlign w:val="center"/>
          </w:tcPr>
          <w:p w14:paraId="5773842A" w14:textId="77777777" w:rsidR="000F25EF" w:rsidRPr="009F60C9" w:rsidRDefault="000F25EF" w:rsidP="00031159">
            <w:pPr>
              <w:spacing w:line="360" w:lineRule="auto"/>
              <w:jc w:val="center"/>
              <w:rPr>
                <w:sz w:val="16"/>
                <w:szCs w:val="16"/>
                <w:lang w:val="en-GB"/>
              </w:rPr>
            </w:pPr>
            <w:r w:rsidRPr="009F60C9">
              <w:rPr>
                <w:rFonts w:eastAsiaTheme="majorEastAsia"/>
                <w:color w:val="000000" w:themeColor="text1"/>
                <w:sz w:val="16"/>
                <w:szCs w:val="16"/>
                <w:lang w:val="en-GB"/>
              </w:rPr>
              <w:t>CONT</w:t>
            </w:r>
          </w:p>
        </w:tc>
        <w:tc>
          <w:tcPr>
            <w:tcW w:w="974" w:type="dxa"/>
            <w:shd w:val="clear" w:color="auto" w:fill="D9D9D9" w:themeFill="background1" w:themeFillShade="D9"/>
            <w:vAlign w:val="center"/>
          </w:tcPr>
          <w:p w14:paraId="05A22850" w14:textId="77777777" w:rsidR="000F25EF" w:rsidRPr="009F60C9" w:rsidRDefault="000F25EF" w:rsidP="00031159">
            <w:pPr>
              <w:spacing w:line="360" w:lineRule="auto"/>
              <w:jc w:val="center"/>
              <w:rPr>
                <w:sz w:val="16"/>
                <w:szCs w:val="16"/>
                <w:lang w:val="en-GB"/>
              </w:rPr>
            </w:pPr>
            <w:r w:rsidRPr="009F60C9">
              <w:rPr>
                <w:rFonts w:eastAsiaTheme="majorEastAsia"/>
                <w:color w:val="000000" w:themeColor="text1"/>
                <w:sz w:val="16"/>
                <w:szCs w:val="16"/>
                <w:lang w:val="en-GB"/>
              </w:rPr>
              <w:t>CONT</w:t>
            </w:r>
          </w:p>
        </w:tc>
        <w:tc>
          <w:tcPr>
            <w:tcW w:w="779" w:type="dxa"/>
            <w:shd w:val="clear" w:color="auto" w:fill="8EAADB" w:themeFill="accent1" w:themeFillTint="99"/>
            <w:vAlign w:val="center"/>
          </w:tcPr>
          <w:p w14:paraId="38F12B80" w14:textId="77777777" w:rsidR="000F25EF" w:rsidRPr="009F60C9" w:rsidRDefault="000F25EF" w:rsidP="00031159">
            <w:pPr>
              <w:autoSpaceDE w:val="0"/>
              <w:autoSpaceDN w:val="0"/>
              <w:adjustRightInd w:val="0"/>
              <w:spacing w:line="360" w:lineRule="auto"/>
              <w:jc w:val="center"/>
              <w:outlineLvl w:val="0"/>
              <w:rPr>
                <w:rFonts w:eastAsiaTheme="majorEastAsia"/>
                <w:color w:val="000000" w:themeColor="text1"/>
                <w:sz w:val="16"/>
                <w:szCs w:val="16"/>
                <w:lang w:val="en-GB"/>
              </w:rPr>
            </w:pPr>
            <w:r w:rsidRPr="009F60C9">
              <w:rPr>
                <w:rFonts w:eastAsiaTheme="majorEastAsia"/>
                <w:color w:val="000000" w:themeColor="text1"/>
                <w:sz w:val="16"/>
                <w:szCs w:val="16"/>
                <w:lang w:val="en-GB"/>
              </w:rPr>
              <w:t>INT</w:t>
            </w:r>
          </w:p>
        </w:tc>
        <w:tc>
          <w:tcPr>
            <w:tcW w:w="779" w:type="dxa"/>
            <w:tcBorders>
              <w:right w:val="single" w:sz="4" w:space="0" w:color="auto"/>
            </w:tcBorders>
            <w:shd w:val="clear" w:color="auto" w:fill="8EAADB" w:themeFill="accent1" w:themeFillTint="99"/>
            <w:vAlign w:val="center"/>
          </w:tcPr>
          <w:p w14:paraId="171EAE4F" w14:textId="77777777" w:rsidR="000F25EF" w:rsidRPr="009F60C9" w:rsidRDefault="000F25EF" w:rsidP="00031159">
            <w:pPr>
              <w:autoSpaceDE w:val="0"/>
              <w:autoSpaceDN w:val="0"/>
              <w:adjustRightInd w:val="0"/>
              <w:spacing w:line="360" w:lineRule="auto"/>
              <w:jc w:val="center"/>
              <w:outlineLvl w:val="0"/>
              <w:rPr>
                <w:rFonts w:eastAsiaTheme="majorEastAsia"/>
                <w:color w:val="000000" w:themeColor="text1"/>
                <w:sz w:val="16"/>
                <w:szCs w:val="16"/>
                <w:lang w:val="en-GB"/>
              </w:rPr>
            </w:pPr>
            <w:r w:rsidRPr="009F60C9">
              <w:rPr>
                <w:rFonts w:eastAsiaTheme="majorEastAsia"/>
                <w:color w:val="000000" w:themeColor="text1"/>
                <w:sz w:val="16"/>
                <w:szCs w:val="16"/>
                <w:lang w:val="en-GB"/>
              </w:rPr>
              <w:t>INT</w:t>
            </w:r>
          </w:p>
        </w:tc>
        <w:tc>
          <w:tcPr>
            <w:tcW w:w="975" w:type="dxa"/>
            <w:tcBorders>
              <w:right w:val="single" w:sz="4" w:space="0" w:color="auto"/>
            </w:tcBorders>
            <w:shd w:val="clear" w:color="auto" w:fill="8EAADB" w:themeFill="accent1" w:themeFillTint="99"/>
            <w:vAlign w:val="center"/>
          </w:tcPr>
          <w:p w14:paraId="0F11DA41" w14:textId="77777777" w:rsidR="000F25EF" w:rsidRPr="009F60C9" w:rsidRDefault="000F25EF" w:rsidP="00031159">
            <w:pPr>
              <w:autoSpaceDE w:val="0"/>
              <w:autoSpaceDN w:val="0"/>
              <w:adjustRightInd w:val="0"/>
              <w:spacing w:line="360" w:lineRule="auto"/>
              <w:jc w:val="center"/>
              <w:outlineLvl w:val="0"/>
              <w:rPr>
                <w:rFonts w:eastAsiaTheme="majorEastAsia"/>
                <w:color w:val="000000" w:themeColor="text1"/>
                <w:sz w:val="16"/>
                <w:szCs w:val="16"/>
                <w:lang w:val="en-GB"/>
              </w:rPr>
            </w:pPr>
            <w:r w:rsidRPr="009F60C9">
              <w:rPr>
                <w:rFonts w:eastAsiaTheme="majorEastAsia"/>
                <w:color w:val="000000" w:themeColor="text1"/>
                <w:sz w:val="16"/>
                <w:szCs w:val="16"/>
                <w:lang w:val="en-GB"/>
              </w:rPr>
              <w:t>INT</w:t>
            </w:r>
          </w:p>
        </w:tc>
        <w:tc>
          <w:tcPr>
            <w:tcW w:w="975" w:type="dxa"/>
            <w:tcBorders>
              <w:right w:val="single" w:sz="4" w:space="0" w:color="auto"/>
            </w:tcBorders>
            <w:shd w:val="clear" w:color="auto" w:fill="8EAADB" w:themeFill="accent1" w:themeFillTint="99"/>
            <w:vAlign w:val="center"/>
          </w:tcPr>
          <w:p w14:paraId="3AEEA304" w14:textId="77777777" w:rsidR="000F25EF" w:rsidRPr="009F60C9" w:rsidRDefault="000F25EF" w:rsidP="00031159">
            <w:pPr>
              <w:autoSpaceDE w:val="0"/>
              <w:autoSpaceDN w:val="0"/>
              <w:adjustRightInd w:val="0"/>
              <w:spacing w:line="360" w:lineRule="auto"/>
              <w:jc w:val="center"/>
              <w:outlineLvl w:val="0"/>
              <w:rPr>
                <w:rFonts w:eastAsiaTheme="majorEastAsia"/>
                <w:color w:val="000000" w:themeColor="text1"/>
                <w:sz w:val="16"/>
                <w:szCs w:val="16"/>
                <w:lang w:val="en-GB"/>
              </w:rPr>
            </w:pPr>
            <w:r w:rsidRPr="009F60C9">
              <w:rPr>
                <w:rFonts w:eastAsiaTheme="majorEastAsia"/>
                <w:color w:val="000000" w:themeColor="text1"/>
                <w:sz w:val="16"/>
                <w:szCs w:val="16"/>
                <w:lang w:val="en-GB"/>
              </w:rPr>
              <w:t>INT</w:t>
            </w:r>
          </w:p>
        </w:tc>
        <w:tc>
          <w:tcPr>
            <w:tcW w:w="975" w:type="dxa"/>
            <w:tcBorders>
              <w:right w:val="single" w:sz="4" w:space="0" w:color="auto"/>
            </w:tcBorders>
            <w:shd w:val="clear" w:color="auto" w:fill="8EAADB" w:themeFill="accent1" w:themeFillTint="99"/>
            <w:vAlign w:val="center"/>
          </w:tcPr>
          <w:p w14:paraId="6FF09B27" w14:textId="77777777" w:rsidR="000F25EF" w:rsidRPr="009F60C9" w:rsidRDefault="000F25EF" w:rsidP="00031159">
            <w:pPr>
              <w:autoSpaceDE w:val="0"/>
              <w:autoSpaceDN w:val="0"/>
              <w:adjustRightInd w:val="0"/>
              <w:spacing w:line="360" w:lineRule="auto"/>
              <w:jc w:val="center"/>
              <w:outlineLvl w:val="0"/>
              <w:rPr>
                <w:rFonts w:eastAsiaTheme="majorEastAsia"/>
                <w:color w:val="000000" w:themeColor="text1"/>
                <w:sz w:val="16"/>
                <w:szCs w:val="16"/>
                <w:lang w:val="en-GB"/>
              </w:rPr>
            </w:pPr>
            <w:r w:rsidRPr="009F60C9">
              <w:rPr>
                <w:rFonts w:eastAsiaTheme="majorEastAsia"/>
                <w:color w:val="000000" w:themeColor="text1"/>
                <w:sz w:val="16"/>
                <w:szCs w:val="16"/>
                <w:lang w:val="en-GB"/>
              </w:rPr>
              <w:t>INT</w:t>
            </w:r>
          </w:p>
        </w:tc>
      </w:tr>
      <w:tr w:rsidR="000F25EF" w:rsidRPr="009F60C9" w14:paraId="1AF08CE7" w14:textId="77777777" w:rsidTr="00031159">
        <w:trPr>
          <w:trHeight w:val="29"/>
        </w:trPr>
        <w:tc>
          <w:tcPr>
            <w:tcW w:w="2304" w:type="dxa"/>
          </w:tcPr>
          <w:p w14:paraId="68E912D8" w14:textId="77777777" w:rsidR="000F25EF" w:rsidRPr="009F60C9" w:rsidRDefault="000F25EF" w:rsidP="00031159">
            <w:pPr>
              <w:autoSpaceDE w:val="0"/>
              <w:autoSpaceDN w:val="0"/>
              <w:adjustRightInd w:val="0"/>
              <w:spacing w:line="360" w:lineRule="auto"/>
              <w:ind w:left="-109"/>
              <w:outlineLvl w:val="0"/>
              <w:rPr>
                <w:rFonts w:eastAsiaTheme="majorEastAsia"/>
                <w:color w:val="000000" w:themeColor="text1"/>
                <w:sz w:val="16"/>
                <w:szCs w:val="16"/>
                <w:lang w:val="en-GB"/>
              </w:rPr>
            </w:pPr>
            <w:proofErr w:type="spellStart"/>
            <w:r w:rsidRPr="009F60C9">
              <w:rPr>
                <w:color w:val="000000"/>
                <w:sz w:val="16"/>
                <w:szCs w:val="16"/>
                <w:lang w:val="en-GB" w:eastAsia="en-GB"/>
              </w:rPr>
              <w:t>Malandzela</w:t>
            </w:r>
            <w:proofErr w:type="spellEnd"/>
            <w:r w:rsidRPr="009F60C9">
              <w:rPr>
                <w:color w:val="000000"/>
                <w:sz w:val="16"/>
                <w:szCs w:val="16"/>
                <w:lang w:val="en-GB" w:eastAsia="en-GB"/>
              </w:rPr>
              <w:t xml:space="preserve"> Clinic</w:t>
            </w:r>
          </w:p>
        </w:tc>
        <w:tc>
          <w:tcPr>
            <w:tcW w:w="1006" w:type="dxa"/>
            <w:shd w:val="clear" w:color="auto" w:fill="D9D9D9" w:themeFill="background1" w:themeFillShade="D9"/>
            <w:vAlign w:val="center"/>
          </w:tcPr>
          <w:p w14:paraId="5084DE2E" w14:textId="77777777" w:rsidR="000F25EF" w:rsidRPr="009F60C9" w:rsidRDefault="000F25EF" w:rsidP="00031159">
            <w:pPr>
              <w:spacing w:line="360" w:lineRule="auto"/>
              <w:jc w:val="center"/>
              <w:rPr>
                <w:sz w:val="16"/>
                <w:szCs w:val="16"/>
                <w:lang w:val="en-GB"/>
              </w:rPr>
            </w:pPr>
            <w:r w:rsidRPr="009F60C9">
              <w:rPr>
                <w:rFonts w:eastAsiaTheme="majorEastAsia"/>
                <w:color w:val="000000" w:themeColor="text1"/>
                <w:sz w:val="16"/>
                <w:szCs w:val="16"/>
                <w:lang w:val="en-GB"/>
              </w:rPr>
              <w:t>CONT</w:t>
            </w:r>
          </w:p>
        </w:tc>
        <w:tc>
          <w:tcPr>
            <w:tcW w:w="975" w:type="dxa"/>
            <w:shd w:val="clear" w:color="auto" w:fill="D9D9D9" w:themeFill="background1" w:themeFillShade="D9"/>
            <w:vAlign w:val="center"/>
          </w:tcPr>
          <w:p w14:paraId="144C7244" w14:textId="77777777" w:rsidR="000F25EF" w:rsidRPr="009F60C9" w:rsidRDefault="000F25EF" w:rsidP="00031159">
            <w:pPr>
              <w:spacing w:line="360" w:lineRule="auto"/>
              <w:jc w:val="center"/>
              <w:rPr>
                <w:sz w:val="16"/>
                <w:szCs w:val="16"/>
                <w:lang w:val="en-GB"/>
              </w:rPr>
            </w:pPr>
            <w:r w:rsidRPr="009F60C9">
              <w:rPr>
                <w:rFonts w:eastAsiaTheme="majorEastAsia"/>
                <w:color w:val="000000" w:themeColor="text1"/>
                <w:sz w:val="16"/>
                <w:szCs w:val="16"/>
                <w:lang w:val="en-GB"/>
              </w:rPr>
              <w:t>CONT</w:t>
            </w:r>
          </w:p>
        </w:tc>
        <w:tc>
          <w:tcPr>
            <w:tcW w:w="974" w:type="dxa"/>
            <w:shd w:val="clear" w:color="auto" w:fill="D9D9D9" w:themeFill="background1" w:themeFillShade="D9"/>
            <w:vAlign w:val="center"/>
          </w:tcPr>
          <w:p w14:paraId="53C84F3A" w14:textId="77777777" w:rsidR="000F25EF" w:rsidRPr="009F60C9" w:rsidRDefault="000F25EF" w:rsidP="00031159">
            <w:pPr>
              <w:spacing w:line="360" w:lineRule="auto"/>
              <w:jc w:val="center"/>
              <w:rPr>
                <w:sz w:val="16"/>
                <w:szCs w:val="16"/>
                <w:lang w:val="en-GB"/>
              </w:rPr>
            </w:pPr>
            <w:r w:rsidRPr="009F60C9">
              <w:rPr>
                <w:rFonts w:eastAsiaTheme="majorEastAsia"/>
                <w:color w:val="000000" w:themeColor="text1"/>
                <w:sz w:val="16"/>
                <w:szCs w:val="16"/>
                <w:lang w:val="en-GB"/>
              </w:rPr>
              <w:t>CONT</w:t>
            </w:r>
          </w:p>
        </w:tc>
        <w:tc>
          <w:tcPr>
            <w:tcW w:w="779" w:type="dxa"/>
            <w:shd w:val="clear" w:color="auto" w:fill="8EAADB" w:themeFill="accent1" w:themeFillTint="99"/>
            <w:vAlign w:val="center"/>
          </w:tcPr>
          <w:p w14:paraId="46944A92" w14:textId="77777777" w:rsidR="000F25EF" w:rsidRPr="009F60C9" w:rsidRDefault="000F25EF" w:rsidP="00031159">
            <w:pPr>
              <w:autoSpaceDE w:val="0"/>
              <w:autoSpaceDN w:val="0"/>
              <w:adjustRightInd w:val="0"/>
              <w:spacing w:line="360" w:lineRule="auto"/>
              <w:jc w:val="center"/>
              <w:outlineLvl w:val="0"/>
              <w:rPr>
                <w:rFonts w:eastAsiaTheme="majorEastAsia"/>
                <w:color w:val="000000" w:themeColor="text1"/>
                <w:sz w:val="16"/>
                <w:szCs w:val="16"/>
                <w:lang w:val="en-GB"/>
              </w:rPr>
            </w:pPr>
            <w:r w:rsidRPr="009F60C9">
              <w:rPr>
                <w:rFonts w:eastAsiaTheme="majorEastAsia"/>
                <w:color w:val="000000" w:themeColor="text1"/>
                <w:sz w:val="16"/>
                <w:szCs w:val="16"/>
                <w:lang w:val="en-GB"/>
              </w:rPr>
              <w:t>INT</w:t>
            </w:r>
          </w:p>
        </w:tc>
        <w:tc>
          <w:tcPr>
            <w:tcW w:w="779" w:type="dxa"/>
            <w:tcBorders>
              <w:right w:val="single" w:sz="4" w:space="0" w:color="auto"/>
            </w:tcBorders>
            <w:shd w:val="clear" w:color="auto" w:fill="8EAADB" w:themeFill="accent1" w:themeFillTint="99"/>
            <w:vAlign w:val="center"/>
          </w:tcPr>
          <w:p w14:paraId="41FDAF76" w14:textId="77777777" w:rsidR="000F25EF" w:rsidRPr="009F60C9" w:rsidRDefault="000F25EF" w:rsidP="00031159">
            <w:pPr>
              <w:autoSpaceDE w:val="0"/>
              <w:autoSpaceDN w:val="0"/>
              <w:adjustRightInd w:val="0"/>
              <w:spacing w:line="360" w:lineRule="auto"/>
              <w:jc w:val="center"/>
              <w:outlineLvl w:val="0"/>
              <w:rPr>
                <w:rFonts w:eastAsiaTheme="majorEastAsia"/>
                <w:color w:val="000000" w:themeColor="text1"/>
                <w:sz w:val="16"/>
                <w:szCs w:val="16"/>
                <w:lang w:val="en-GB"/>
              </w:rPr>
            </w:pPr>
            <w:r w:rsidRPr="009F60C9">
              <w:rPr>
                <w:rFonts w:eastAsiaTheme="majorEastAsia"/>
                <w:color w:val="000000" w:themeColor="text1"/>
                <w:sz w:val="16"/>
                <w:szCs w:val="16"/>
                <w:lang w:val="en-GB"/>
              </w:rPr>
              <w:t>INT</w:t>
            </w:r>
          </w:p>
        </w:tc>
        <w:tc>
          <w:tcPr>
            <w:tcW w:w="975" w:type="dxa"/>
            <w:tcBorders>
              <w:right w:val="single" w:sz="4" w:space="0" w:color="auto"/>
            </w:tcBorders>
            <w:shd w:val="clear" w:color="auto" w:fill="8EAADB" w:themeFill="accent1" w:themeFillTint="99"/>
            <w:vAlign w:val="center"/>
          </w:tcPr>
          <w:p w14:paraId="3C411556" w14:textId="77777777" w:rsidR="000F25EF" w:rsidRPr="009F60C9" w:rsidRDefault="000F25EF" w:rsidP="00031159">
            <w:pPr>
              <w:autoSpaceDE w:val="0"/>
              <w:autoSpaceDN w:val="0"/>
              <w:adjustRightInd w:val="0"/>
              <w:spacing w:line="360" w:lineRule="auto"/>
              <w:jc w:val="center"/>
              <w:outlineLvl w:val="0"/>
              <w:rPr>
                <w:rFonts w:eastAsiaTheme="majorEastAsia"/>
                <w:color w:val="000000" w:themeColor="text1"/>
                <w:sz w:val="16"/>
                <w:szCs w:val="16"/>
                <w:lang w:val="en-GB"/>
              </w:rPr>
            </w:pPr>
            <w:r w:rsidRPr="009F60C9">
              <w:rPr>
                <w:rFonts w:eastAsiaTheme="majorEastAsia"/>
                <w:color w:val="000000" w:themeColor="text1"/>
                <w:sz w:val="16"/>
                <w:szCs w:val="16"/>
                <w:lang w:val="en-GB"/>
              </w:rPr>
              <w:t>INT</w:t>
            </w:r>
          </w:p>
        </w:tc>
        <w:tc>
          <w:tcPr>
            <w:tcW w:w="975" w:type="dxa"/>
            <w:tcBorders>
              <w:right w:val="single" w:sz="4" w:space="0" w:color="auto"/>
            </w:tcBorders>
            <w:shd w:val="clear" w:color="auto" w:fill="8EAADB" w:themeFill="accent1" w:themeFillTint="99"/>
            <w:vAlign w:val="center"/>
          </w:tcPr>
          <w:p w14:paraId="27DC6B6C" w14:textId="77777777" w:rsidR="000F25EF" w:rsidRPr="009F60C9" w:rsidRDefault="000F25EF" w:rsidP="00031159">
            <w:pPr>
              <w:autoSpaceDE w:val="0"/>
              <w:autoSpaceDN w:val="0"/>
              <w:adjustRightInd w:val="0"/>
              <w:spacing w:line="360" w:lineRule="auto"/>
              <w:jc w:val="center"/>
              <w:outlineLvl w:val="0"/>
              <w:rPr>
                <w:rFonts w:eastAsiaTheme="majorEastAsia"/>
                <w:color w:val="000000" w:themeColor="text1"/>
                <w:sz w:val="16"/>
                <w:szCs w:val="16"/>
                <w:lang w:val="en-GB"/>
              </w:rPr>
            </w:pPr>
            <w:r w:rsidRPr="009F60C9">
              <w:rPr>
                <w:rFonts w:eastAsiaTheme="majorEastAsia"/>
                <w:color w:val="000000" w:themeColor="text1"/>
                <w:sz w:val="16"/>
                <w:szCs w:val="16"/>
                <w:lang w:val="en-GB"/>
              </w:rPr>
              <w:t>INT</w:t>
            </w:r>
          </w:p>
        </w:tc>
        <w:tc>
          <w:tcPr>
            <w:tcW w:w="975" w:type="dxa"/>
            <w:tcBorders>
              <w:right w:val="single" w:sz="4" w:space="0" w:color="auto"/>
            </w:tcBorders>
            <w:shd w:val="clear" w:color="auto" w:fill="8EAADB" w:themeFill="accent1" w:themeFillTint="99"/>
            <w:vAlign w:val="center"/>
          </w:tcPr>
          <w:p w14:paraId="4E11C648" w14:textId="77777777" w:rsidR="000F25EF" w:rsidRPr="009F60C9" w:rsidRDefault="000F25EF" w:rsidP="00031159">
            <w:pPr>
              <w:autoSpaceDE w:val="0"/>
              <w:autoSpaceDN w:val="0"/>
              <w:adjustRightInd w:val="0"/>
              <w:spacing w:line="360" w:lineRule="auto"/>
              <w:jc w:val="center"/>
              <w:outlineLvl w:val="0"/>
              <w:rPr>
                <w:rFonts w:eastAsiaTheme="majorEastAsia"/>
                <w:color w:val="000000" w:themeColor="text1"/>
                <w:sz w:val="16"/>
                <w:szCs w:val="16"/>
                <w:lang w:val="en-GB"/>
              </w:rPr>
            </w:pPr>
            <w:r w:rsidRPr="009F60C9">
              <w:rPr>
                <w:rFonts w:eastAsiaTheme="majorEastAsia"/>
                <w:color w:val="000000" w:themeColor="text1"/>
                <w:sz w:val="16"/>
                <w:szCs w:val="16"/>
                <w:lang w:val="en-GB"/>
              </w:rPr>
              <w:t>INT</w:t>
            </w:r>
          </w:p>
        </w:tc>
      </w:tr>
      <w:tr w:rsidR="000F25EF" w:rsidRPr="009F60C9" w14:paraId="52A89502" w14:textId="77777777" w:rsidTr="00031159">
        <w:trPr>
          <w:trHeight w:val="179"/>
        </w:trPr>
        <w:tc>
          <w:tcPr>
            <w:tcW w:w="2304" w:type="dxa"/>
          </w:tcPr>
          <w:p w14:paraId="195A3E1B" w14:textId="77777777" w:rsidR="000F25EF" w:rsidRPr="009F60C9" w:rsidRDefault="000F25EF" w:rsidP="00031159">
            <w:pPr>
              <w:autoSpaceDE w:val="0"/>
              <w:autoSpaceDN w:val="0"/>
              <w:adjustRightInd w:val="0"/>
              <w:spacing w:line="360" w:lineRule="auto"/>
              <w:ind w:left="-109"/>
              <w:outlineLvl w:val="0"/>
              <w:rPr>
                <w:rFonts w:eastAsiaTheme="majorEastAsia"/>
                <w:bCs/>
                <w:color w:val="000000" w:themeColor="text1"/>
                <w:sz w:val="16"/>
                <w:szCs w:val="16"/>
                <w:lang w:val="en-GB"/>
              </w:rPr>
            </w:pPr>
            <w:r w:rsidRPr="009F60C9">
              <w:rPr>
                <w:color w:val="000000"/>
                <w:sz w:val="16"/>
                <w:szCs w:val="16"/>
                <w:lang w:val="en-GB" w:eastAsia="en-GB"/>
              </w:rPr>
              <w:t>Pigg's Peak Hospital</w:t>
            </w:r>
          </w:p>
        </w:tc>
        <w:tc>
          <w:tcPr>
            <w:tcW w:w="1006" w:type="dxa"/>
            <w:shd w:val="clear" w:color="auto" w:fill="D9D9D9" w:themeFill="background1" w:themeFillShade="D9"/>
            <w:vAlign w:val="center"/>
          </w:tcPr>
          <w:p w14:paraId="360D5086" w14:textId="77777777" w:rsidR="000F25EF" w:rsidRPr="009F60C9" w:rsidRDefault="000F25EF" w:rsidP="00031159">
            <w:pPr>
              <w:spacing w:line="360" w:lineRule="auto"/>
              <w:jc w:val="center"/>
              <w:rPr>
                <w:sz w:val="16"/>
                <w:szCs w:val="16"/>
                <w:lang w:val="en-GB"/>
              </w:rPr>
            </w:pPr>
            <w:r w:rsidRPr="009F60C9">
              <w:rPr>
                <w:rFonts w:eastAsiaTheme="majorEastAsia"/>
                <w:color w:val="000000" w:themeColor="text1"/>
                <w:sz w:val="16"/>
                <w:szCs w:val="16"/>
                <w:lang w:val="en-GB"/>
              </w:rPr>
              <w:t>CONT</w:t>
            </w:r>
          </w:p>
        </w:tc>
        <w:tc>
          <w:tcPr>
            <w:tcW w:w="975" w:type="dxa"/>
            <w:shd w:val="clear" w:color="auto" w:fill="D9D9D9" w:themeFill="background1" w:themeFillShade="D9"/>
            <w:vAlign w:val="center"/>
          </w:tcPr>
          <w:p w14:paraId="37D6FFCB" w14:textId="77777777" w:rsidR="000F25EF" w:rsidRPr="009F60C9" w:rsidRDefault="000F25EF" w:rsidP="00031159">
            <w:pPr>
              <w:spacing w:line="360" w:lineRule="auto"/>
              <w:jc w:val="center"/>
              <w:rPr>
                <w:sz w:val="16"/>
                <w:szCs w:val="16"/>
                <w:lang w:val="en-GB"/>
              </w:rPr>
            </w:pPr>
            <w:r w:rsidRPr="009F60C9">
              <w:rPr>
                <w:rFonts w:eastAsiaTheme="majorEastAsia"/>
                <w:color w:val="000000" w:themeColor="text1"/>
                <w:sz w:val="16"/>
                <w:szCs w:val="16"/>
                <w:lang w:val="en-GB"/>
              </w:rPr>
              <w:t>CONT</w:t>
            </w:r>
          </w:p>
        </w:tc>
        <w:tc>
          <w:tcPr>
            <w:tcW w:w="974" w:type="dxa"/>
            <w:shd w:val="clear" w:color="auto" w:fill="D9D9D9" w:themeFill="background1" w:themeFillShade="D9"/>
            <w:vAlign w:val="center"/>
          </w:tcPr>
          <w:p w14:paraId="4E1FE3CA" w14:textId="77777777" w:rsidR="000F25EF" w:rsidRPr="009F60C9" w:rsidRDefault="000F25EF" w:rsidP="00031159">
            <w:pPr>
              <w:spacing w:line="360" w:lineRule="auto"/>
              <w:jc w:val="center"/>
              <w:rPr>
                <w:sz w:val="16"/>
                <w:szCs w:val="16"/>
                <w:lang w:val="en-GB"/>
              </w:rPr>
            </w:pPr>
            <w:r w:rsidRPr="009F60C9">
              <w:rPr>
                <w:rFonts w:eastAsiaTheme="majorEastAsia"/>
                <w:color w:val="000000" w:themeColor="text1"/>
                <w:sz w:val="16"/>
                <w:szCs w:val="16"/>
                <w:lang w:val="en-GB"/>
              </w:rPr>
              <w:t>CONT</w:t>
            </w:r>
          </w:p>
        </w:tc>
        <w:tc>
          <w:tcPr>
            <w:tcW w:w="779" w:type="dxa"/>
            <w:shd w:val="clear" w:color="auto" w:fill="D9D9D9" w:themeFill="background1" w:themeFillShade="D9"/>
            <w:vAlign w:val="center"/>
          </w:tcPr>
          <w:p w14:paraId="38729C71" w14:textId="77777777" w:rsidR="000F25EF" w:rsidRPr="009F60C9" w:rsidRDefault="000F25EF" w:rsidP="00031159">
            <w:pPr>
              <w:spacing w:line="360" w:lineRule="auto"/>
              <w:jc w:val="center"/>
              <w:rPr>
                <w:sz w:val="16"/>
                <w:szCs w:val="16"/>
                <w:lang w:val="en-GB"/>
              </w:rPr>
            </w:pPr>
            <w:r w:rsidRPr="009F60C9">
              <w:rPr>
                <w:rFonts w:eastAsiaTheme="majorEastAsia"/>
                <w:color w:val="000000" w:themeColor="text1"/>
                <w:sz w:val="16"/>
                <w:szCs w:val="16"/>
                <w:lang w:val="en-GB"/>
              </w:rPr>
              <w:t>CONT</w:t>
            </w:r>
          </w:p>
        </w:tc>
        <w:tc>
          <w:tcPr>
            <w:tcW w:w="779" w:type="dxa"/>
            <w:shd w:val="clear" w:color="auto" w:fill="8EAADB" w:themeFill="accent1" w:themeFillTint="99"/>
            <w:vAlign w:val="center"/>
          </w:tcPr>
          <w:p w14:paraId="1FE86FA6" w14:textId="77777777" w:rsidR="000F25EF" w:rsidRPr="009F60C9" w:rsidRDefault="000F25EF" w:rsidP="00031159">
            <w:pPr>
              <w:autoSpaceDE w:val="0"/>
              <w:autoSpaceDN w:val="0"/>
              <w:adjustRightInd w:val="0"/>
              <w:spacing w:line="360" w:lineRule="auto"/>
              <w:jc w:val="center"/>
              <w:outlineLvl w:val="0"/>
              <w:rPr>
                <w:rFonts w:eastAsiaTheme="majorEastAsia"/>
                <w:color w:val="000000" w:themeColor="text1"/>
                <w:sz w:val="16"/>
                <w:szCs w:val="16"/>
                <w:lang w:val="en-GB"/>
              </w:rPr>
            </w:pPr>
            <w:r w:rsidRPr="009F60C9">
              <w:rPr>
                <w:rFonts w:eastAsiaTheme="majorEastAsia"/>
                <w:color w:val="000000" w:themeColor="text1"/>
                <w:sz w:val="16"/>
                <w:szCs w:val="16"/>
                <w:lang w:val="en-GB"/>
              </w:rPr>
              <w:t>INT</w:t>
            </w:r>
          </w:p>
        </w:tc>
        <w:tc>
          <w:tcPr>
            <w:tcW w:w="975" w:type="dxa"/>
            <w:shd w:val="clear" w:color="auto" w:fill="8EAADB" w:themeFill="accent1" w:themeFillTint="99"/>
            <w:vAlign w:val="center"/>
          </w:tcPr>
          <w:p w14:paraId="330FE98E" w14:textId="77777777" w:rsidR="000F25EF" w:rsidRPr="009F60C9" w:rsidRDefault="000F25EF" w:rsidP="00031159">
            <w:pPr>
              <w:autoSpaceDE w:val="0"/>
              <w:autoSpaceDN w:val="0"/>
              <w:adjustRightInd w:val="0"/>
              <w:spacing w:line="360" w:lineRule="auto"/>
              <w:jc w:val="center"/>
              <w:outlineLvl w:val="0"/>
              <w:rPr>
                <w:rFonts w:eastAsiaTheme="majorEastAsia"/>
                <w:color w:val="000000" w:themeColor="text1"/>
                <w:sz w:val="16"/>
                <w:szCs w:val="16"/>
                <w:lang w:val="en-GB"/>
              </w:rPr>
            </w:pPr>
            <w:r w:rsidRPr="009F60C9">
              <w:rPr>
                <w:rFonts w:eastAsiaTheme="majorEastAsia"/>
                <w:color w:val="000000" w:themeColor="text1"/>
                <w:sz w:val="16"/>
                <w:szCs w:val="16"/>
                <w:lang w:val="en-GB"/>
              </w:rPr>
              <w:t>INT</w:t>
            </w:r>
          </w:p>
        </w:tc>
        <w:tc>
          <w:tcPr>
            <w:tcW w:w="975" w:type="dxa"/>
            <w:shd w:val="clear" w:color="auto" w:fill="8EAADB" w:themeFill="accent1" w:themeFillTint="99"/>
            <w:vAlign w:val="center"/>
          </w:tcPr>
          <w:p w14:paraId="047FB38C" w14:textId="77777777" w:rsidR="000F25EF" w:rsidRPr="009F60C9" w:rsidRDefault="000F25EF" w:rsidP="00031159">
            <w:pPr>
              <w:autoSpaceDE w:val="0"/>
              <w:autoSpaceDN w:val="0"/>
              <w:adjustRightInd w:val="0"/>
              <w:spacing w:line="360" w:lineRule="auto"/>
              <w:jc w:val="center"/>
              <w:outlineLvl w:val="0"/>
              <w:rPr>
                <w:rFonts w:eastAsiaTheme="majorEastAsia"/>
                <w:color w:val="000000" w:themeColor="text1"/>
                <w:sz w:val="16"/>
                <w:szCs w:val="16"/>
                <w:lang w:val="en-GB"/>
              </w:rPr>
            </w:pPr>
            <w:r w:rsidRPr="009F60C9">
              <w:rPr>
                <w:rFonts w:eastAsiaTheme="majorEastAsia"/>
                <w:color w:val="000000" w:themeColor="text1"/>
                <w:sz w:val="16"/>
                <w:szCs w:val="16"/>
                <w:lang w:val="en-GB"/>
              </w:rPr>
              <w:t>INT</w:t>
            </w:r>
          </w:p>
        </w:tc>
        <w:tc>
          <w:tcPr>
            <w:tcW w:w="975" w:type="dxa"/>
            <w:shd w:val="clear" w:color="auto" w:fill="8EAADB" w:themeFill="accent1" w:themeFillTint="99"/>
            <w:vAlign w:val="center"/>
          </w:tcPr>
          <w:p w14:paraId="3217B5DC" w14:textId="77777777" w:rsidR="000F25EF" w:rsidRPr="009F60C9" w:rsidRDefault="000F25EF" w:rsidP="00031159">
            <w:pPr>
              <w:autoSpaceDE w:val="0"/>
              <w:autoSpaceDN w:val="0"/>
              <w:adjustRightInd w:val="0"/>
              <w:spacing w:line="360" w:lineRule="auto"/>
              <w:jc w:val="center"/>
              <w:outlineLvl w:val="0"/>
              <w:rPr>
                <w:rFonts w:eastAsiaTheme="majorEastAsia"/>
                <w:color w:val="000000" w:themeColor="text1"/>
                <w:sz w:val="16"/>
                <w:szCs w:val="16"/>
                <w:lang w:val="en-GB"/>
              </w:rPr>
            </w:pPr>
            <w:r w:rsidRPr="009F60C9">
              <w:rPr>
                <w:rFonts w:eastAsiaTheme="majorEastAsia"/>
                <w:color w:val="000000" w:themeColor="text1"/>
                <w:sz w:val="16"/>
                <w:szCs w:val="16"/>
                <w:lang w:val="en-GB"/>
              </w:rPr>
              <w:t>INT</w:t>
            </w:r>
          </w:p>
        </w:tc>
      </w:tr>
      <w:tr w:rsidR="000F25EF" w:rsidRPr="009F60C9" w14:paraId="6158D483" w14:textId="77777777" w:rsidTr="00031159">
        <w:trPr>
          <w:trHeight w:val="149"/>
        </w:trPr>
        <w:tc>
          <w:tcPr>
            <w:tcW w:w="2304" w:type="dxa"/>
          </w:tcPr>
          <w:p w14:paraId="286950A2" w14:textId="77777777" w:rsidR="000F25EF" w:rsidRPr="009F60C9" w:rsidRDefault="000F25EF" w:rsidP="00031159">
            <w:pPr>
              <w:spacing w:line="360" w:lineRule="auto"/>
              <w:ind w:left="-109"/>
              <w:rPr>
                <w:color w:val="000000"/>
                <w:sz w:val="16"/>
                <w:szCs w:val="16"/>
                <w:lang w:val="en-GB" w:eastAsia="en-GB"/>
              </w:rPr>
            </w:pPr>
            <w:r w:rsidRPr="009F60C9">
              <w:rPr>
                <w:color w:val="000000"/>
                <w:sz w:val="16"/>
                <w:szCs w:val="16"/>
                <w:lang w:val="en-GB" w:eastAsia="en-GB"/>
              </w:rPr>
              <w:t>Peak Nazarene Clinic</w:t>
            </w:r>
          </w:p>
        </w:tc>
        <w:tc>
          <w:tcPr>
            <w:tcW w:w="1006" w:type="dxa"/>
            <w:shd w:val="clear" w:color="auto" w:fill="D9D9D9" w:themeFill="background1" w:themeFillShade="D9"/>
            <w:vAlign w:val="center"/>
          </w:tcPr>
          <w:p w14:paraId="6B4727B2" w14:textId="77777777" w:rsidR="000F25EF" w:rsidRPr="009F60C9" w:rsidRDefault="000F25EF" w:rsidP="00031159">
            <w:pPr>
              <w:spacing w:line="360" w:lineRule="auto"/>
              <w:jc w:val="center"/>
              <w:rPr>
                <w:sz w:val="16"/>
                <w:szCs w:val="16"/>
                <w:lang w:val="en-GB"/>
              </w:rPr>
            </w:pPr>
            <w:r w:rsidRPr="009F60C9">
              <w:rPr>
                <w:rFonts w:eastAsiaTheme="majorEastAsia"/>
                <w:color w:val="000000" w:themeColor="text1"/>
                <w:sz w:val="16"/>
                <w:szCs w:val="16"/>
                <w:lang w:val="en-GB"/>
              </w:rPr>
              <w:t>CONT</w:t>
            </w:r>
          </w:p>
        </w:tc>
        <w:tc>
          <w:tcPr>
            <w:tcW w:w="975" w:type="dxa"/>
            <w:shd w:val="clear" w:color="auto" w:fill="D9D9D9" w:themeFill="background1" w:themeFillShade="D9"/>
            <w:vAlign w:val="center"/>
          </w:tcPr>
          <w:p w14:paraId="23CAD77E" w14:textId="77777777" w:rsidR="000F25EF" w:rsidRPr="009F60C9" w:rsidRDefault="000F25EF" w:rsidP="00031159">
            <w:pPr>
              <w:spacing w:line="360" w:lineRule="auto"/>
              <w:jc w:val="center"/>
              <w:rPr>
                <w:sz w:val="16"/>
                <w:szCs w:val="16"/>
                <w:lang w:val="en-GB"/>
              </w:rPr>
            </w:pPr>
            <w:r w:rsidRPr="009F60C9">
              <w:rPr>
                <w:rFonts w:eastAsiaTheme="majorEastAsia"/>
                <w:color w:val="000000" w:themeColor="text1"/>
                <w:sz w:val="16"/>
                <w:szCs w:val="16"/>
                <w:lang w:val="en-GB"/>
              </w:rPr>
              <w:t>CONT</w:t>
            </w:r>
          </w:p>
        </w:tc>
        <w:tc>
          <w:tcPr>
            <w:tcW w:w="974" w:type="dxa"/>
            <w:shd w:val="clear" w:color="auto" w:fill="D9D9D9" w:themeFill="background1" w:themeFillShade="D9"/>
            <w:vAlign w:val="center"/>
          </w:tcPr>
          <w:p w14:paraId="37B9D21E" w14:textId="77777777" w:rsidR="000F25EF" w:rsidRPr="009F60C9" w:rsidRDefault="000F25EF" w:rsidP="00031159">
            <w:pPr>
              <w:spacing w:line="360" w:lineRule="auto"/>
              <w:jc w:val="center"/>
              <w:rPr>
                <w:sz w:val="16"/>
                <w:szCs w:val="16"/>
                <w:lang w:val="en-GB"/>
              </w:rPr>
            </w:pPr>
            <w:r w:rsidRPr="009F60C9">
              <w:rPr>
                <w:rFonts w:eastAsiaTheme="majorEastAsia"/>
                <w:color w:val="000000" w:themeColor="text1"/>
                <w:sz w:val="16"/>
                <w:szCs w:val="16"/>
                <w:lang w:val="en-GB"/>
              </w:rPr>
              <w:t>CONT</w:t>
            </w:r>
          </w:p>
        </w:tc>
        <w:tc>
          <w:tcPr>
            <w:tcW w:w="779" w:type="dxa"/>
            <w:shd w:val="clear" w:color="auto" w:fill="D9D9D9" w:themeFill="background1" w:themeFillShade="D9"/>
            <w:vAlign w:val="center"/>
          </w:tcPr>
          <w:p w14:paraId="6EBE9E77" w14:textId="77777777" w:rsidR="000F25EF" w:rsidRPr="009F60C9" w:rsidRDefault="000F25EF" w:rsidP="00031159">
            <w:pPr>
              <w:spacing w:line="360" w:lineRule="auto"/>
              <w:jc w:val="center"/>
              <w:rPr>
                <w:sz w:val="16"/>
                <w:szCs w:val="16"/>
                <w:lang w:val="en-GB"/>
              </w:rPr>
            </w:pPr>
            <w:r w:rsidRPr="009F60C9">
              <w:rPr>
                <w:rFonts w:eastAsiaTheme="majorEastAsia"/>
                <w:color w:val="000000" w:themeColor="text1"/>
                <w:sz w:val="16"/>
                <w:szCs w:val="16"/>
                <w:lang w:val="en-GB"/>
              </w:rPr>
              <w:t>CONT</w:t>
            </w:r>
          </w:p>
        </w:tc>
        <w:tc>
          <w:tcPr>
            <w:tcW w:w="779" w:type="dxa"/>
            <w:shd w:val="clear" w:color="auto" w:fill="8EAADB" w:themeFill="accent1" w:themeFillTint="99"/>
            <w:vAlign w:val="center"/>
          </w:tcPr>
          <w:p w14:paraId="21D225B5" w14:textId="77777777" w:rsidR="000F25EF" w:rsidRPr="009F60C9" w:rsidRDefault="000F25EF" w:rsidP="00031159">
            <w:pPr>
              <w:autoSpaceDE w:val="0"/>
              <w:autoSpaceDN w:val="0"/>
              <w:adjustRightInd w:val="0"/>
              <w:spacing w:line="360" w:lineRule="auto"/>
              <w:jc w:val="center"/>
              <w:outlineLvl w:val="0"/>
              <w:rPr>
                <w:rFonts w:eastAsiaTheme="majorEastAsia"/>
                <w:color w:val="000000" w:themeColor="text1"/>
                <w:sz w:val="16"/>
                <w:szCs w:val="16"/>
                <w:lang w:val="en-GB"/>
              </w:rPr>
            </w:pPr>
            <w:r w:rsidRPr="009F60C9">
              <w:rPr>
                <w:rFonts w:eastAsiaTheme="majorEastAsia"/>
                <w:color w:val="000000" w:themeColor="text1"/>
                <w:sz w:val="16"/>
                <w:szCs w:val="16"/>
                <w:lang w:val="en-GB"/>
              </w:rPr>
              <w:t>INT</w:t>
            </w:r>
          </w:p>
        </w:tc>
        <w:tc>
          <w:tcPr>
            <w:tcW w:w="975" w:type="dxa"/>
            <w:shd w:val="clear" w:color="auto" w:fill="8EAADB" w:themeFill="accent1" w:themeFillTint="99"/>
            <w:vAlign w:val="center"/>
          </w:tcPr>
          <w:p w14:paraId="15FD4894" w14:textId="77777777" w:rsidR="000F25EF" w:rsidRPr="009F60C9" w:rsidRDefault="000F25EF" w:rsidP="00031159">
            <w:pPr>
              <w:autoSpaceDE w:val="0"/>
              <w:autoSpaceDN w:val="0"/>
              <w:adjustRightInd w:val="0"/>
              <w:spacing w:line="360" w:lineRule="auto"/>
              <w:jc w:val="center"/>
              <w:outlineLvl w:val="0"/>
              <w:rPr>
                <w:rFonts w:eastAsiaTheme="majorEastAsia"/>
                <w:color w:val="000000" w:themeColor="text1"/>
                <w:sz w:val="16"/>
                <w:szCs w:val="16"/>
                <w:lang w:val="en-GB"/>
              </w:rPr>
            </w:pPr>
            <w:r w:rsidRPr="009F60C9">
              <w:rPr>
                <w:rFonts w:eastAsiaTheme="majorEastAsia"/>
                <w:color w:val="000000" w:themeColor="text1"/>
                <w:sz w:val="16"/>
                <w:szCs w:val="16"/>
                <w:lang w:val="en-GB"/>
              </w:rPr>
              <w:t>INT</w:t>
            </w:r>
          </w:p>
        </w:tc>
        <w:tc>
          <w:tcPr>
            <w:tcW w:w="975" w:type="dxa"/>
            <w:shd w:val="clear" w:color="auto" w:fill="8EAADB" w:themeFill="accent1" w:themeFillTint="99"/>
            <w:vAlign w:val="center"/>
          </w:tcPr>
          <w:p w14:paraId="30D6159B" w14:textId="77777777" w:rsidR="000F25EF" w:rsidRPr="009F60C9" w:rsidRDefault="000F25EF" w:rsidP="00031159">
            <w:pPr>
              <w:autoSpaceDE w:val="0"/>
              <w:autoSpaceDN w:val="0"/>
              <w:adjustRightInd w:val="0"/>
              <w:spacing w:line="360" w:lineRule="auto"/>
              <w:jc w:val="center"/>
              <w:outlineLvl w:val="0"/>
              <w:rPr>
                <w:rFonts w:eastAsiaTheme="majorEastAsia"/>
                <w:color w:val="000000" w:themeColor="text1"/>
                <w:sz w:val="16"/>
                <w:szCs w:val="16"/>
                <w:lang w:val="en-GB"/>
              </w:rPr>
            </w:pPr>
            <w:r w:rsidRPr="009F60C9">
              <w:rPr>
                <w:rFonts w:eastAsiaTheme="majorEastAsia"/>
                <w:color w:val="000000" w:themeColor="text1"/>
                <w:sz w:val="16"/>
                <w:szCs w:val="16"/>
                <w:lang w:val="en-GB"/>
              </w:rPr>
              <w:t>INT</w:t>
            </w:r>
          </w:p>
        </w:tc>
        <w:tc>
          <w:tcPr>
            <w:tcW w:w="975" w:type="dxa"/>
            <w:shd w:val="clear" w:color="auto" w:fill="8EAADB" w:themeFill="accent1" w:themeFillTint="99"/>
            <w:vAlign w:val="center"/>
          </w:tcPr>
          <w:p w14:paraId="2007ABDC" w14:textId="77777777" w:rsidR="000F25EF" w:rsidRPr="009F60C9" w:rsidRDefault="000F25EF" w:rsidP="00031159">
            <w:pPr>
              <w:autoSpaceDE w:val="0"/>
              <w:autoSpaceDN w:val="0"/>
              <w:adjustRightInd w:val="0"/>
              <w:spacing w:line="360" w:lineRule="auto"/>
              <w:jc w:val="center"/>
              <w:outlineLvl w:val="0"/>
              <w:rPr>
                <w:rFonts w:eastAsiaTheme="majorEastAsia"/>
                <w:color w:val="000000" w:themeColor="text1"/>
                <w:sz w:val="16"/>
                <w:szCs w:val="16"/>
                <w:lang w:val="en-GB"/>
              </w:rPr>
            </w:pPr>
            <w:r w:rsidRPr="009F60C9">
              <w:rPr>
                <w:rFonts w:eastAsiaTheme="majorEastAsia"/>
                <w:color w:val="000000" w:themeColor="text1"/>
                <w:sz w:val="16"/>
                <w:szCs w:val="16"/>
                <w:lang w:val="en-GB"/>
              </w:rPr>
              <w:t>INT</w:t>
            </w:r>
          </w:p>
        </w:tc>
      </w:tr>
      <w:tr w:rsidR="000F25EF" w:rsidRPr="009F60C9" w14:paraId="184C1391" w14:textId="77777777" w:rsidTr="00031159">
        <w:trPr>
          <w:trHeight w:val="137"/>
        </w:trPr>
        <w:tc>
          <w:tcPr>
            <w:tcW w:w="2304" w:type="dxa"/>
          </w:tcPr>
          <w:p w14:paraId="27DD8B45" w14:textId="77777777" w:rsidR="000F25EF" w:rsidRPr="009F60C9" w:rsidRDefault="000F25EF" w:rsidP="00031159">
            <w:pPr>
              <w:autoSpaceDE w:val="0"/>
              <w:autoSpaceDN w:val="0"/>
              <w:adjustRightInd w:val="0"/>
              <w:spacing w:line="360" w:lineRule="auto"/>
              <w:ind w:left="-109"/>
              <w:outlineLvl w:val="0"/>
              <w:rPr>
                <w:color w:val="000000"/>
                <w:sz w:val="16"/>
                <w:szCs w:val="16"/>
                <w:lang w:val="en-GB" w:eastAsia="en-GB"/>
              </w:rPr>
            </w:pPr>
            <w:r w:rsidRPr="009F60C9">
              <w:rPr>
                <w:color w:val="000000"/>
                <w:sz w:val="16"/>
                <w:szCs w:val="16"/>
                <w:lang w:val="en-GB" w:eastAsia="en-GB"/>
              </w:rPr>
              <w:t>Herefords Clinic</w:t>
            </w:r>
          </w:p>
        </w:tc>
        <w:tc>
          <w:tcPr>
            <w:tcW w:w="1006" w:type="dxa"/>
            <w:shd w:val="clear" w:color="auto" w:fill="D9D9D9" w:themeFill="background1" w:themeFillShade="D9"/>
            <w:vAlign w:val="center"/>
          </w:tcPr>
          <w:p w14:paraId="79349C32" w14:textId="77777777" w:rsidR="000F25EF" w:rsidRPr="009F60C9" w:rsidRDefault="000F25EF" w:rsidP="00031159">
            <w:pPr>
              <w:spacing w:line="360" w:lineRule="auto"/>
              <w:jc w:val="center"/>
              <w:rPr>
                <w:sz w:val="16"/>
                <w:szCs w:val="16"/>
                <w:lang w:val="en-GB"/>
              </w:rPr>
            </w:pPr>
            <w:r w:rsidRPr="009F60C9">
              <w:rPr>
                <w:rFonts w:eastAsiaTheme="majorEastAsia"/>
                <w:color w:val="000000" w:themeColor="text1"/>
                <w:sz w:val="16"/>
                <w:szCs w:val="16"/>
                <w:lang w:val="en-GB"/>
              </w:rPr>
              <w:t>CONT</w:t>
            </w:r>
          </w:p>
        </w:tc>
        <w:tc>
          <w:tcPr>
            <w:tcW w:w="975" w:type="dxa"/>
            <w:shd w:val="clear" w:color="auto" w:fill="D9D9D9" w:themeFill="background1" w:themeFillShade="D9"/>
            <w:vAlign w:val="center"/>
          </w:tcPr>
          <w:p w14:paraId="72592AF7" w14:textId="77777777" w:rsidR="000F25EF" w:rsidRPr="009F60C9" w:rsidRDefault="000F25EF" w:rsidP="00031159">
            <w:pPr>
              <w:spacing w:line="360" w:lineRule="auto"/>
              <w:jc w:val="center"/>
              <w:rPr>
                <w:sz w:val="16"/>
                <w:szCs w:val="16"/>
                <w:lang w:val="en-GB"/>
              </w:rPr>
            </w:pPr>
            <w:r w:rsidRPr="009F60C9">
              <w:rPr>
                <w:rFonts w:eastAsiaTheme="majorEastAsia"/>
                <w:color w:val="000000" w:themeColor="text1"/>
                <w:sz w:val="16"/>
                <w:szCs w:val="16"/>
                <w:lang w:val="en-GB"/>
              </w:rPr>
              <w:t>CONT</w:t>
            </w:r>
          </w:p>
        </w:tc>
        <w:tc>
          <w:tcPr>
            <w:tcW w:w="974" w:type="dxa"/>
            <w:shd w:val="clear" w:color="auto" w:fill="D9D9D9" w:themeFill="background1" w:themeFillShade="D9"/>
            <w:vAlign w:val="center"/>
          </w:tcPr>
          <w:p w14:paraId="61D228DC" w14:textId="77777777" w:rsidR="000F25EF" w:rsidRPr="009F60C9" w:rsidRDefault="000F25EF" w:rsidP="00031159">
            <w:pPr>
              <w:spacing w:line="360" w:lineRule="auto"/>
              <w:jc w:val="center"/>
              <w:rPr>
                <w:sz w:val="16"/>
                <w:szCs w:val="16"/>
                <w:lang w:val="en-GB"/>
              </w:rPr>
            </w:pPr>
            <w:r w:rsidRPr="009F60C9">
              <w:rPr>
                <w:rFonts w:eastAsiaTheme="majorEastAsia"/>
                <w:color w:val="000000" w:themeColor="text1"/>
                <w:sz w:val="16"/>
                <w:szCs w:val="16"/>
                <w:lang w:val="en-GB"/>
              </w:rPr>
              <w:t>CONT</w:t>
            </w:r>
          </w:p>
        </w:tc>
        <w:tc>
          <w:tcPr>
            <w:tcW w:w="779" w:type="dxa"/>
            <w:shd w:val="clear" w:color="auto" w:fill="D9D9D9" w:themeFill="background1" w:themeFillShade="D9"/>
            <w:vAlign w:val="center"/>
          </w:tcPr>
          <w:p w14:paraId="567665C0" w14:textId="77777777" w:rsidR="000F25EF" w:rsidRPr="009F60C9" w:rsidRDefault="000F25EF" w:rsidP="00031159">
            <w:pPr>
              <w:spacing w:line="360" w:lineRule="auto"/>
              <w:jc w:val="center"/>
              <w:rPr>
                <w:sz w:val="16"/>
                <w:szCs w:val="16"/>
                <w:lang w:val="en-GB"/>
              </w:rPr>
            </w:pPr>
            <w:r w:rsidRPr="009F60C9">
              <w:rPr>
                <w:rFonts w:eastAsiaTheme="majorEastAsia"/>
                <w:color w:val="000000" w:themeColor="text1"/>
                <w:sz w:val="16"/>
                <w:szCs w:val="16"/>
                <w:lang w:val="en-GB"/>
              </w:rPr>
              <w:t>CONT</w:t>
            </w:r>
          </w:p>
        </w:tc>
        <w:tc>
          <w:tcPr>
            <w:tcW w:w="779" w:type="dxa"/>
            <w:shd w:val="clear" w:color="auto" w:fill="D9D9D9" w:themeFill="background1" w:themeFillShade="D9"/>
            <w:vAlign w:val="center"/>
          </w:tcPr>
          <w:p w14:paraId="172A4AD3" w14:textId="77777777" w:rsidR="000F25EF" w:rsidRPr="009F60C9" w:rsidRDefault="000F25EF" w:rsidP="00031159">
            <w:pPr>
              <w:spacing w:line="360" w:lineRule="auto"/>
              <w:jc w:val="center"/>
              <w:rPr>
                <w:sz w:val="16"/>
                <w:szCs w:val="16"/>
                <w:lang w:val="en-GB"/>
              </w:rPr>
            </w:pPr>
            <w:r w:rsidRPr="009F60C9">
              <w:rPr>
                <w:rFonts w:eastAsiaTheme="majorEastAsia"/>
                <w:color w:val="000000" w:themeColor="text1"/>
                <w:sz w:val="16"/>
                <w:szCs w:val="16"/>
                <w:lang w:val="en-GB"/>
              </w:rPr>
              <w:t>CONT</w:t>
            </w:r>
          </w:p>
        </w:tc>
        <w:tc>
          <w:tcPr>
            <w:tcW w:w="975" w:type="dxa"/>
            <w:shd w:val="clear" w:color="auto" w:fill="8EAADB" w:themeFill="accent1" w:themeFillTint="99"/>
            <w:vAlign w:val="center"/>
          </w:tcPr>
          <w:p w14:paraId="4C852C7C" w14:textId="77777777" w:rsidR="000F25EF" w:rsidRPr="009F60C9" w:rsidRDefault="000F25EF" w:rsidP="00031159">
            <w:pPr>
              <w:autoSpaceDE w:val="0"/>
              <w:autoSpaceDN w:val="0"/>
              <w:adjustRightInd w:val="0"/>
              <w:spacing w:line="360" w:lineRule="auto"/>
              <w:jc w:val="center"/>
              <w:outlineLvl w:val="0"/>
              <w:rPr>
                <w:rFonts w:eastAsiaTheme="majorEastAsia"/>
                <w:color w:val="000000" w:themeColor="text1"/>
                <w:sz w:val="16"/>
                <w:szCs w:val="16"/>
                <w:lang w:val="en-GB"/>
              </w:rPr>
            </w:pPr>
            <w:r w:rsidRPr="009F60C9">
              <w:rPr>
                <w:rFonts w:eastAsiaTheme="majorEastAsia"/>
                <w:color w:val="000000" w:themeColor="text1"/>
                <w:sz w:val="16"/>
                <w:szCs w:val="16"/>
                <w:lang w:val="en-GB"/>
              </w:rPr>
              <w:t>INT</w:t>
            </w:r>
          </w:p>
        </w:tc>
        <w:tc>
          <w:tcPr>
            <w:tcW w:w="975" w:type="dxa"/>
            <w:shd w:val="clear" w:color="auto" w:fill="8EAADB" w:themeFill="accent1" w:themeFillTint="99"/>
            <w:vAlign w:val="center"/>
          </w:tcPr>
          <w:p w14:paraId="2C0874DA" w14:textId="77777777" w:rsidR="000F25EF" w:rsidRPr="009F60C9" w:rsidRDefault="000F25EF" w:rsidP="00031159">
            <w:pPr>
              <w:autoSpaceDE w:val="0"/>
              <w:autoSpaceDN w:val="0"/>
              <w:adjustRightInd w:val="0"/>
              <w:spacing w:line="360" w:lineRule="auto"/>
              <w:jc w:val="center"/>
              <w:outlineLvl w:val="0"/>
              <w:rPr>
                <w:rFonts w:eastAsiaTheme="majorEastAsia"/>
                <w:color w:val="000000" w:themeColor="text1"/>
                <w:sz w:val="16"/>
                <w:szCs w:val="16"/>
                <w:lang w:val="en-GB"/>
              </w:rPr>
            </w:pPr>
            <w:r w:rsidRPr="009F60C9">
              <w:rPr>
                <w:rFonts w:eastAsiaTheme="majorEastAsia"/>
                <w:color w:val="000000" w:themeColor="text1"/>
                <w:sz w:val="16"/>
                <w:szCs w:val="16"/>
                <w:lang w:val="en-GB"/>
              </w:rPr>
              <w:t>INT</w:t>
            </w:r>
          </w:p>
        </w:tc>
        <w:tc>
          <w:tcPr>
            <w:tcW w:w="975" w:type="dxa"/>
            <w:shd w:val="clear" w:color="auto" w:fill="8EAADB" w:themeFill="accent1" w:themeFillTint="99"/>
            <w:vAlign w:val="center"/>
          </w:tcPr>
          <w:p w14:paraId="5B77A6EF" w14:textId="77777777" w:rsidR="000F25EF" w:rsidRPr="009F60C9" w:rsidRDefault="000F25EF" w:rsidP="00031159">
            <w:pPr>
              <w:autoSpaceDE w:val="0"/>
              <w:autoSpaceDN w:val="0"/>
              <w:adjustRightInd w:val="0"/>
              <w:spacing w:line="360" w:lineRule="auto"/>
              <w:jc w:val="center"/>
              <w:outlineLvl w:val="0"/>
              <w:rPr>
                <w:rFonts w:eastAsiaTheme="majorEastAsia"/>
                <w:color w:val="000000" w:themeColor="text1"/>
                <w:sz w:val="16"/>
                <w:szCs w:val="16"/>
                <w:lang w:val="en-GB"/>
              </w:rPr>
            </w:pPr>
            <w:r w:rsidRPr="009F60C9">
              <w:rPr>
                <w:rFonts w:eastAsiaTheme="majorEastAsia"/>
                <w:color w:val="000000" w:themeColor="text1"/>
                <w:sz w:val="16"/>
                <w:szCs w:val="16"/>
                <w:lang w:val="en-GB"/>
              </w:rPr>
              <w:t>INT</w:t>
            </w:r>
          </w:p>
        </w:tc>
      </w:tr>
      <w:tr w:rsidR="000F25EF" w:rsidRPr="009F60C9" w14:paraId="0FDC37ED" w14:textId="77777777" w:rsidTr="00031159">
        <w:trPr>
          <w:trHeight w:val="155"/>
        </w:trPr>
        <w:tc>
          <w:tcPr>
            <w:tcW w:w="2304" w:type="dxa"/>
          </w:tcPr>
          <w:p w14:paraId="39975501" w14:textId="77777777" w:rsidR="000F25EF" w:rsidRPr="009F60C9" w:rsidRDefault="000F25EF" w:rsidP="00031159">
            <w:pPr>
              <w:autoSpaceDE w:val="0"/>
              <w:autoSpaceDN w:val="0"/>
              <w:adjustRightInd w:val="0"/>
              <w:spacing w:line="360" w:lineRule="auto"/>
              <w:ind w:left="-109"/>
              <w:outlineLvl w:val="0"/>
              <w:rPr>
                <w:rFonts w:eastAsiaTheme="majorEastAsia"/>
                <w:color w:val="000000" w:themeColor="text1"/>
                <w:sz w:val="16"/>
                <w:szCs w:val="16"/>
                <w:lang w:val="en-GB"/>
              </w:rPr>
            </w:pPr>
            <w:proofErr w:type="spellStart"/>
            <w:r w:rsidRPr="009F60C9">
              <w:rPr>
                <w:color w:val="000000"/>
                <w:sz w:val="16"/>
                <w:szCs w:val="16"/>
                <w:lang w:val="en-GB" w:eastAsia="en-GB"/>
              </w:rPr>
              <w:t>Ndvwabangeni</w:t>
            </w:r>
            <w:proofErr w:type="spellEnd"/>
            <w:r w:rsidRPr="009F60C9">
              <w:rPr>
                <w:color w:val="000000"/>
                <w:sz w:val="16"/>
                <w:szCs w:val="16"/>
                <w:lang w:val="en-GB" w:eastAsia="en-GB"/>
              </w:rPr>
              <w:t xml:space="preserve"> Nazarene Clinic</w:t>
            </w:r>
          </w:p>
        </w:tc>
        <w:tc>
          <w:tcPr>
            <w:tcW w:w="1006" w:type="dxa"/>
            <w:shd w:val="clear" w:color="auto" w:fill="D9D9D9" w:themeFill="background1" w:themeFillShade="D9"/>
            <w:vAlign w:val="center"/>
          </w:tcPr>
          <w:p w14:paraId="7DA4CB18" w14:textId="77777777" w:rsidR="000F25EF" w:rsidRPr="009F60C9" w:rsidRDefault="000F25EF" w:rsidP="00031159">
            <w:pPr>
              <w:spacing w:line="360" w:lineRule="auto"/>
              <w:jc w:val="center"/>
              <w:rPr>
                <w:sz w:val="16"/>
                <w:szCs w:val="16"/>
                <w:lang w:val="en-GB"/>
              </w:rPr>
            </w:pPr>
            <w:r w:rsidRPr="009F60C9">
              <w:rPr>
                <w:rFonts w:eastAsiaTheme="majorEastAsia"/>
                <w:color w:val="000000" w:themeColor="text1"/>
                <w:sz w:val="16"/>
                <w:szCs w:val="16"/>
                <w:lang w:val="en-GB"/>
              </w:rPr>
              <w:t>CONT</w:t>
            </w:r>
          </w:p>
        </w:tc>
        <w:tc>
          <w:tcPr>
            <w:tcW w:w="975" w:type="dxa"/>
            <w:shd w:val="clear" w:color="auto" w:fill="D9D9D9" w:themeFill="background1" w:themeFillShade="D9"/>
            <w:vAlign w:val="center"/>
          </w:tcPr>
          <w:p w14:paraId="36105FB7" w14:textId="77777777" w:rsidR="000F25EF" w:rsidRPr="009F60C9" w:rsidRDefault="000F25EF" w:rsidP="00031159">
            <w:pPr>
              <w:spacing w:line="360" w:lineRule="auto"/>
              <w:jc w:val="center"/>
              <w:rPr>
                <w:sz w:val="16"/>
                <w:szCs w:val="16"/>
                <w:lang w:val="en-GB"/>
              </w:rPr>
            </w:pPr>
            <w:r w:rsidRPr="009F60C9">
              <w:rPr>
                <w:rFonts w:eastAsiaTheme="majorEastAsia"/>
                <w:color w:val="000000" w:themeColor="text1"/>
                <w:sz w:val="16"/>
                <w:szCs w:val="16"/>
                <w:lang w:val="en-GB"/>
              </w:rPr>
              <w:t>CONT</w:t>
            </w:r>
          </w:p>
        </w:tc>
        <w:tc>
          <w:tcPr>
            <w:tcW w:w="974" w:type="dxa"/>
            <w:shd w:val="clear" w:color="auto" w:fill="D9D9D9" w:themeFill="background1" w:themeFillShade="D9"/>
            <w:vAlign w:val="center"/>
          </w:tcPr>
          <w:p w14:paraId="2D34BD08" w14:textId="77777777" w:rsidR="000F25EF" w:rsidRPr="009F60C9" w:rsidRDefault="000F25EF" w:rsidP="00031159">
            <w:pPr>
              <w:spacing w:line="360" w:lineRule="auto"/>
              <w:jc w:val="center"/>
              <w:rPr>
                <w:sz w:val="16"/>
                <w:szCs w:val="16"/>
                <w:lang w:val="en-GB"/>
              </w:rPr>
            </w:pPr>
            <w:r w:rsidRPr="009F60C9">
              <w:rPr>
                <w:rFonts w:eastAsiaTheme="majorEastAsia"/>
                <w:color w:val="000000" w:themeColor="text1"/>
                <w:sz w:val="16"/>
                <w:szCs w:val="16"/>
                <w:lang w:val="en-GB"/>
              </w:rPr>
              <w:t>CONT</w:t>
            </w:r>
          </w:p>
        </w:tc>
        <w:tc>
          <w:tcPr>
            <w:tcW w:w="779" w:type="dxa"/>
            <w:shd w:val="clear" w:color="auto" w:fill="D9D9D9" w:themeFill="background1" w:themeFillShade="D9"/>
            <w:vAlign w:val="center"/>
          </w:tcPr>
          <w:p w14:paraId="5B44B5AB" w14:textId="77777777" w:rsidR="000F25EF" w:rsidRPr="009F60C9" w:rsidRDefault="000F25EF" w:rsidP="00031159">
            <w:pPr>
              <w:spacing w:line="360" w:lineRule="auto"/>
              <w:jc w:val="center"/>
              <w:rPr>
                <w:sz w:val="16"/>
                <w:szCs w:val="16"/>
                <w:lang w:val="en-GB"/>
              </w:rPr>
            </w:pPr>
            <w:r w:rsidRPr="009F60C9">
              <w:rPr>
                <w:rFonts w:eastAsiaTheme="majorEastAsia"/>
                <w:color w:val="000000" w:themeColor="text1"/>
                <w:sz w:val="16"/>
                <w:szCs w:val="16"/>
                <w:lang w:val="en-GB"/>
              </w:rPr>
              <w:t>CONT</w:t>
            </w:r>
          </w:p>
        </w:tc>
        <w:tc>
          <w:tcPr>
            <w:tcW w:w="779" w:type="dxa"/>
            <w:shd w:val="clear" w:color="auto" w:fill="D9D9D9" w:themeFill="background1" w:themeFillShade="D9"/>
            <w:vAlign w:val="center"/>
          </w:tcPr>
          <w:p w14:paraId="75FA522F" w14:textId="77777777" w:rsidR="000F25EF" w:rsidRPr="009F60C9" w:rsidRDefault="000F25EF" w:rsidP="00031159">
            <w:pPr>
              <w:spacing w:line="360" w:lineRule="auto"/>
              <w:jc w:val="center"/>
              <w:rPr>
                <w:sz w:val="16"/>
                <w:szCs w:val="16"/>
                <w:lang w:val="en-GB"/>
              </w:rPr>
            </w:pPr>
            <w:r w:rsidRPr="009F60C9">
              <w:rPr>
                <w:rFonts w:eastAsiaTheme="majorEastAsia"/>
                <w:color w:val="000000" w:themeColor="text1"/>
                <w:sz w:val="16"/>
                <w:szCs w:val="16"/>
                <w:lang w:val="en-GB"/>
              </w:rPr>
              <w:t>CONT</w:t>
            </w:r>
          </w:p>
        </w:tc>
        <w:tc>
          <w:tcPr>
            <w:tcW w:w="975" w:type="dxa"/>
            <w:shd w:val="clear" w:color="auto" w:fill="8EAADB" w:themeFill="accent1" w:themeFillTint="99"/>
            <w:vAlign w:val="center"/>
          </w:tcPr>
          <w:p w14:paraId="1F2FD8F3" w14:textId="77777777" w:rsidR="000F25EF" w:rsidRPr="009F60C9" w:rsidRDefault="000F25EF" w:rsidP="00031159">
            <w:pPr>
              <w:autoSpaceDE w:val="0"/>
              <w:autoSpaceDN w:val="0"/>
              <w:adjustRightInd w:val="0"/>
              <w:spacing w:line="360" w:lineRule="auto"/>
              <w:jc w:val="center"/>
              <w:outlineLvl w:val="0"/>
              <w:rPr>
                <w:rFonts w:eastAsiaTheme="majorEastAsia"/>
                <w:color w:val="000000" w:themeColor="text1"/>
                <w:sz w:val="16"/>
                <w:szCs w:val="16"/>
                <w:lang w:val="en-GB"/>
              </w:rPr>
            </w:pPr>
            <w:r w:rsidRPr="009F60C9">
              <w:rPr>
                <w:rFonts w:eastAsiaTheme="majorEastAsia"/>
                <w:color w:val="000000" w:themeColor="text1"/>
                <w:sz w:val="16"/>
                <w:szCs w:val="16"/>
                <w:lang w:val="en-GB"/>
              </w:rPr>
              <w:t>INT</w:t>
            </w:r>
          </w:p>
        </w:tc>
        <w:tc>
          <w:tcPr>
            <w:tcW w:w="975" w:type="dxa"/>
            <w:shd w:val="clear" w:color="auto" w:fill="8EAADB" w:themeFill="accent1" w:themeFillTint="99"/>
            <w:vAlign w:val="center"/>
          </w:tcPr>
          <w:p w14:paraId="09A2B022" w14:textId="77777777" w:rsidR="000F25EF" w:rsidRPr="009F60C9" w:rsidRDefault="000F25EF" w:rsidP="00031159">
            <w:pPr>
              <w:autoSpaceDE w:val="0"/>
              <w:autoSpaceDN w:val="0"/>
              <w:adjustRightInd w:val="0"/>
              <w:spacing w:line="360" w:lineRule="auto"/>
              <w:jc w:val="center"/>
              <w:outlineLvl w:val="0"/>
              <w:rPr>
                <w:rFonts w:eastAsiaTheme="majorEastAsia"/>
                <w:color w:val="000000" w:themeColor="text1"/>
                <w:sz w:val="16"/>
                <w:szCs w:val="16"/>
                <w:lang w:val="en-GB"/>
              </w:rPr>
            </w:pPr>
            <w:r w:rsidRPr="009F60C9">
              <w:rPr>
                <w:rFonts w:eastAsiaTheme="majorEastAsia"/>
                <w:color w:val="000000" w:themeColor="text1"/>
                <w:sz w:val="16"/>
                <w:szCs w:val="16"/>
                <w:lang w:val="en-GB"/>
              </w:rPr>
              <w:t>INT</w:t>
            </w:r>
          </w:p>
        </w:tc>
        <w:tc>
          <w:tcPr>
            <w:tcW w:w="975" w:type="dxa"/>
            <w:shd w:val="clear" w:color="auto" w:fill="8EAADB" w:themeFill="accent1" w:themeFillTint="99"/>
            <w:vAlign w:val="center"/>
          </w:tcPr>
          <w:p w14:paraId="414BB143" w14:textId="77777777" w:rsidR="000F25EF" w:rsidRPr="009F60C9" w:rsidRDefault="000F25EF" w:rsidP="00031159">
            <w:pPr>
              <w:autoSpaceDE w:val="0"/>
              <w:autoSpaceDN w:val="0"/>
              <w:adjustRightInd w:val="0"/>
              <w:spacing w:line="360" w:lineRule="auto"/>
              <w:jc w:val="center"/>
              <w:outlineLvl w:val="0"/>
              <w:rPr>
                <w:rFonts w:eastAsiaTheme="majorEastAsia"/>
                <w:color w:val="000000" w:themeColor="text1"/>
                <w:sz w:val="16"/>
                <w:szCs w:val="16"/>
                <w:lang w:val="en-GB"/>
              </w:rPr>
            </w:pPr>
            <w:r w:rsidRPr="009F60C9">
              <w:rPr>
                <w:rFonts w:eastAsiaTheme="majorEastAsia"/>
                <w:color w:val="000000" w:themeColor="text1"/>
                <w:sz w:val="16"/>
                <w:szCs w:val="16"/>
                <w:lang w:val="en-GB"/>
              </w:rPr>
              <w:t>INT</w:t>
            </w:r>
          </w:p>
        </w:tc>
      </w:tr>
      <w:tr w:rsidR="000F25EF" w:rsidRPr="009F60C9" w14:paraId="3E024B34" w14:textId="77777777" w:rsidTr="00031159">
        <w:trPr>
          <w:trHeight w:val="156"/>
        </w:trPr>
        <w:tc>
          <w:tcPr>
            <w:tcW w:w="2304" w:type="dxa"/>
          </w:tcPr>
          <w:p w14:paraId="0E5A37BF" w14:textId="77777777" w:rsidR="000F25EF" w:rsidRPr="009F60C9" w:rsidRDefault="000F25EF" w:rsidP="00031159">
            <w:pPr>
              <w:autoSpaceDE w:val="0"/>
              <w:autoSpaceDN w:val="0"/>
              <w:adjustRightInd w:val="0"/>
              <w:spacing w:line="360" w:lineRule="auto"/>
              <w:ind w:left="-109"/>
              <w:outlineLvl w:val="0"/>
              <w:rPr>
                <w:color w:val="000000"/>
                <w:sz w:val="16"/>
                <w:szCs w:val="16"/>
                <w:lang w:val="en-GB" w:eastAsia="en-GB"/>
              </w:rPr>
            </w:pPr>
            <w:proofErr w:type="spellStart"/>
            <w:r w:rsidRPr="009F60C9">
              <w:rPr>
                <w:color w:val="000000"/>
                <w:sz w:val="16"/>
                <w:szCs w:val="16"/>
                <w:lang w:val="en-GB" w:eastAsia="en-GB"/>
              </w:rPr>
              <w:t>Sigangeni</w:t>
            </w:r>
            <w:proofErr w:type="spellEnd"/>
            <w:r w:rsidRPr="009F60C9">
              <w:rPr>
                <w:color w:val="000000"/>
                <w:sz w:val="16"/>
                <w:szCs w:val="16"/>
                <w:lang w:val="en-GB" w:eastAsia="en-GB"/>
              </w:rPr>
              <w:t xml:space="preserve"> Clinic</w:t>
            </w:r>
          </w:p>
        </w:tc>
        <w:tc>
          <w:tcPr>
            <w:tcW w:w="1006" w:type="dxa"/>
            <w:shd w:val="clear" w:color="auto" w:fill="D9D9D9" w:themeFill="background1" w:themeFillShade="D9"/>
            <w:vAlign w:val="center"/>
          </w:tcPr>
          <w:p w14:paraId="36195A27" w14:textId="77777777" w:rsidR="000F25EF" w:rsidRPr="009F60C9" w:rsidRDefault="000F25EF" w:rsidP="00031159">
            <w:pPr>
              <w:spacing w:line="360" w:lineRule="auto"/>
              <w:jc w:val="center"/>
              <w:rPr>
                <w:sz w:val="16"/>
                <w:szCs w:val="16"/>
                <w:lang w:val="en-GB"/>
              </w:rPr>
            </w:pPr>
            <w:r w:rsidRPr="009F60C9">
              <w:rPr>
                <w:rFonts w:eastAsiaTheme="majorEastAsia"/>
                <w:color w:val="000000" w:themeColor="text1"/>
                <w:sz w:val="16"/>
                <w:szCs w:val="16"/>
                <w:lang w:val="en-GB"/>
              </w:rPr>
              <w:t>CONT</w:t>
            </w:r>
          </w:p>
        </w:tc>
        <w:tc>
          <w:tcPr>
            <w:tcW w:w="975" w:type="dxa"/>
            <w:shd w:val="clear" w:color="auto" w:fill="D9D9D9" w:themeFill="background1" w:themeFillShade="D9"/>
            <w:vAlign w:val="center"/>
          </w:tcPr>
          <w:p w14:paraId="05A453C0" w14:textId="77777777" w:rsidR="000F25EF" w:rsidRPr="009F60C9" w:rsidRDefault="000F25EF" w:rsidP="00031159">
            <w:pPr>
              <w:spacing w:line="360" w:lineRule="auto"/>
              <w:jc w:val="center"/>
              <w:rPr>
                <w:sz w:val="16"/>
                <w:szCs w:val="16"/>
                <w:lang w:val="en-GB"/>
              </w:rPr>
            </w:pPr>
            <w:r w:rsidRPr="009F60C9">
              <w:rPr>
                <w:rFonts w:eastAsiaTheme="majorEastAsia"/>
                <w:color w:val="000000" w:themeColor="text1"/>
                <w:sz w:val="16"/>
                <w:szCs w:val="16"/>
                <w:lang w:val="en-GB"/>
              </w:rPr>
              <w:t>CONT</w:t>
            </w:r>
          </w:p>
        </w:tc>
        <w:tc>
          <w:tcPr>
            <w:tcW w:w="974" w:type="dxa"/>
            <w:shd w:val="clear" w:color="auto" w:fill="D9D9D9" w:themeFill="background1" w:themeFillShade="D9"/>
            <w:vAlign w:val="center"/>
          </w:tcPr>
          <w:p w14:paraId="0C2DAE77" w14:textId="77777777" w:rsidR="000F25EF" w:rsidRPr="009F60C9" w:rsidRDefault="000F25EF" w:rsidP="00031159">
            <w:pPr>
              <w:spacing w:line="360" w:lineRule="auto"/>
              <w:jc w:val="center"/>
              <w:rPr>
                <w:sz w:val="16"/>
                <w:szCs w:val="16"/>
                <w:lang w:val="en-GB"/>
              </w:rPr>
            </w:pPr>
            <w:r w:rsidRPr="009F60C9">
              <w:rPr>
                <w:rFonts w:eastAsiaTheme="majorEastAsia"/>
                <w:color w:val="000000" w:themeColor="text1"/>
                <w:sz w:val="16"/>
                <w:szCs w:val="16"/>
                <w:lang w:val="en-GB"/>
              </w:rPr>
              <w:t>CONT</w:t>
            </w:r>
          </w:p>
        </w:tc>
        <w:tc>
          <w:tcPr>
            <w:tcW w:w="779" w:type="dxa"/>
            <w:shd w:val="clear" w:color="auto" w:fill="D9D9D9" w:themeFill="background1" w:themeFillShade="D9"/>
            <w:vAlign w:val="center"/>
          </w:tcPr>
          <w:p w14:paraId="4F8ACA2B" w14:textId="77777777" w:rsidR="000F25EF" w:rsidRPr="009F60C9" w:rsidRDefault="000F25EF" w:rsidP="00031159">
            <w:pPr>
              <w:spacing w:line="360" w:lineRule="auto"/>
              <w:jc w:val="center"/>
              <w:rPr>
                <w:sz w:val="16"/>
                <w:szCs w:val="16"/>
                <w:lang w:val="en-GB"/>
              </w:rPr>
            </w:pPr>
            <w:r w:rsidRPr="009F60C9">
              <w:rPr>
                <w:rFonts w:eastAsiaTheme="majorEastAsia"/>
                <w:color w:val="000000" w:themeColor="text1"/>
                <w:sz w:val="16"/>
                <w:szCs w:val="16"/>
                <w:lang w:val="en-GB"/>
              </w:rPr>
              <w:t>CONT</w:t>
            </w:r>
          </w:p>
        </w:tc>
        <w:tc>
          <w:tcPr>
            <w:tcW w:w="779" w:type="dxa"/>
            <w:shd w:val="clear" w:color="auto" w:fill="D9D9D9" w:themeFill="background1" w:themeFillShade="D9"/>
            <w:vAlign w:val="center"/>
          </w:tcPr>
          <w:p w14:paraId="1A7AC3A4" w14:textId="77777777" w:rsidR="000F25EF" w:rsidRPr="009F60C9" w:rsidRDefault="000F25EF" w:rsidP="00031159">
            <w:pPr>
              <w:spacing w:line="360" w:lineRule="auto"/>
              <w:jc w:val="center"/>
              <w:rPr>
                <w:sz w:val="16"/>
                <w:szCs w:val="16"/>
                <w:lang w:val="en-GB"/>
              </w:rPr>
            </w:pPr>
            <w:r w:rsidRPr="009F60C9">
              <w:rPr>
                <w:rFonts w:eastAsiaTheme="majorEastAsia"/>
                <w:color w:val="000000" w:themeColor="text1"/>
                <w:sz w:val="16"/>
                <w:szCs w:val="16"/>
                <w:lang w:val="en-GB"/>
              </w:rPr>
              <w:t>CONT</w:t>
            </w:r>
          </w:p>
        </w:tc>
        <w:tc>
          <w:tcPr>
            <w:tcW w:w="975" w:type="dxa"/>
            <w:shd w:val="clear" w:color="auto" w:fill="D9D9D9" w:themeFill="background1" w:themeFillShade="D9"/>
            <w:vAlign w:val="center"/>
          </w:tcPr>
          <w:p w14:paraId="72B03341" w14:textId="77777777" w:rsidR="000F25EF" w:rsidRPr="009F60C9" w:rsidRDefault="000F25EF" w:rsidP="00031159">
            <w:pPr>
              <w:spacing w:line="360" w:lineRule="auto"/>
              <w:jc w:val="center"/>
              <w:rPr>
                <w:sz w:val="16"/>
                <w:szCs w:val="16"/>
                <w:lang w:val="en-GB"/>
              </w:rPr>
            </w:pPr>
            <w:r w:rsidRPr="009F60C9">
              <w:rPr>
                <w:rFonts w:eastAsiaTheme="majorEastAsia"/>
                <w:color w:val="000000" w:themeColor="text1"/>
                <w:sz w:val="16"/>
                <w:szCs w:val="16"/>
                <w:lang w:val="en-GB"/>
              </w:rPr>
              <w:t>CONT</w:t>
            </w:r>
          </w:p>
        </w:tc>
        <w:tc>
          <w:tcPr>
            <w:tcW w:w="975" w:type="dxa"/>
            <w:shd w:val="clear" w:color="auto" w:fill="8EAADB" w:themeFill="accent1" w:themeFillTint="99"/>
            <w:vAlign w:val="center"/>
          </w:tcPr>
          <w:p w14:paraId="6CAB4C28" w14:textId="77777777" w:rsidR="000F25EF" w:rsidRPr="009F60C9" w:rsidRDefault="000F25EF" w:rsidP="00031159">
            <w:pPr>
              <w:autoSpaceDE w:val="0"/>
              <w:autoSpaceDN w:val="0"/>
              <w:adjustRightInd w:val="0"/>
              <w:spacing w:line="360" w:lineRule="auto"/>
              <w:jc w:val="center"/>
              <w:outlineLvl w:val="0"/>
              <w:rPr>
                <w:rFonts w:eastAsiaTheme="majorEastAsia"/>
                <w:color w:val="000000" w:themeColor="text1"/>
                <w:sz w:val="16"/>
                <w:szCs w:val="16"/>
                <w:lang w:val="en-GB"/>
              </w:rPr>
            </w:pPr>
            <w:r w:rsidRPr="009F60C9">
              <w:rPr>
                <w:rFonts w:eastAsiaTheme="majorEastAsia"/>
                <w:color w:val="000000" w:themeColor="text1"/>
                <w:sz w:val="16"/>
                <w:szCs w:val="16"/>
                <w:lang w:val="en-GB"/>
              </w:rPr>
              <w:t>INT</w:t>
            </w:r>
          </w:p>
        </w:tc>
        <w:tc>
          <w:tcPr>
            <w:tcW w:w="975" w:type="dxa"/>
            <w:shd w:val="clear" w:color="auto" w:fill="8EAADB" w:themeFill="accent1" w:themeFillTint="99"/>
            <w:vAlign w:val="center"/>
          </w:tcPr>
          <w:p w14:paraId="02958B01" w14:textId="77777777" w:rsidR="000F25EF" w:rsidRPr="009F60C9" w:rsidRDefault="000F25EF" w:rsidP="00031159">
            <w:pPr>
              <w:autoSpaceDE w:val="0"/>
              <w:autoSpaceDN w:val="0"/>
              <w:adjustRightInd w:val="0"/>
              <w:spacing w:line="360" w:lineRule="auto"/>
              <w:jc w:val="center"/>
              <w:outlineLvl w:val="0"/>
              <w:rPr>
                <w:rFonts w:eastAsiaTheme="majorEastAsia"/>
                <w:color w:val="000000" w:themeColor="text1"/>
                <w:sz w:val="16"/>
                <w:szCs w:val="16"/>
                <w:lang w:val="en-GB"/>
              </w:rPr>
            </w:pPr>
            <w:r w:rsidRPr="009F60C9">
              <w:rPr>
                <w:rFonts w:eastAsiaTheme="majorEastAsia"/>
                <w:color w:val="000000" w:themeColor="text1"/>
                <w:sz w:val="16"/>
                <w:szCs w:val="16"/>
                <w:lang w:val="en-GB"/>
              </w:rPr>
              <w:t>INT</w:t>
            </w:r>
          </w:p>
        </w:tc>
      </w:tr>
      <w:tr w:rsidR="000F25EF" w:rsidRPr="009F60C9" w14:paraId="659B76AE" w14:textId="77777777" w:rsidTr="00031159">
        <w:trPr>
          <w:trHeight w:val="142"/>
        </w:trPr>
        <w:tc>
          <w:tcPr>
            <w:tcW w:w="2304" w:type="dxa"/>
          </w:tcPr>
          <w:p w14:paraId="790BD950" w14:textId="77777777" w:rsidR="000F25EF" w:rsidRPr="009F60C9" w:rsidRDefault="000F25EF" w:rsidP="00031159">
            <w:pPr>
              <w:autoSpaceDE w:val="0"/>
              <w:autoSpaceDN w:val="0"/>
              <w:adjustRightInd w:val="0"/>
              <w:spacing w:line="360" w:lineRule="auto"/>
              <w:ind w:left="-109"/>
              <w:outlineLvl w:val="0"/>
              <w:rPr>
                <w:color w:val="000000"/>
                <w:sz w:val="16"/>
                <w:szCs w:val="16"/>
                <w:lang w:val="en-GB" w:eastAsia="en-GB"/>
              </w:rPr>
            </w:pPr>
            <w:proofErr w:type="spellStart"/>
            <w:r w:rsidRPr="009F60C9">
              <w:rPr>
                <w:color w:val="000000"/>
                <w:sz w:val="16"/>
                <w:szCs w:val="16"/>
                <w:lang w:val="en-GB" w:eastAsia="en-GB"/>
              </w:rPr>
              <w:t>Siphocosini</w:t>
            </w:r>
            <w:proofErr w:type="spellEnd"/>
            <w:r w:rsidRPr="009F60C9">
              <w:rPr>
                <w:color w:val="000000"/>
                <w:sz w:val="16"/>
                <w:szCs w:val="16"/>
                <w:lang w:val="en-GB" w:eastAsia="en-GB"/>
              </w:rPr>
              <w:t xml:space="preserve"> Clinic</w:t>
            </w:r>
          </w:p>
        </w:tc>
        <w:tc>
          <w:tcPr>
            <w:tcW w:w="1006" w:type="dxa"/>
            <w:shd w:val="clear" w:color="auto" w:fill="D9D9D9" w:themeFill="background1" w:themeFillShade="D9"/>
            <w:vAlign w:val="center"/>
          </w:tcPr>
          <w:p w14:paraId="569CD795" w14:textId="77777777" w:rsidR="000F25EF" w:rsidRPr="009F60C9" w:rsidRDefault="000F25EF" w:rsidP="00031159">
            <w:pPr>
              <w:spacing w:line="360" w:lineRule="auto"/>
              <w:jc w:val="center"/>
              <w:rPr>
                <w:sz w:val="16"/>
                <w:szCs w:val="16"/>
                <w:lang w:val="en-GB"/>
              </w:rPr>
            </w:pPr>
            <w:r w:rsidRPr="009F60C9">
              <w:rPr>
                <w:rFonts w:eastAsiaTheme="majorEastAsia"/>
                <w:color w:val="000000" w:themeColor="text1"/>
                <w:sz w:val="16"/>
                <w:szCs w:val="16"/>
                <w:lang w:val="en-GB"/>
              </w:rPr>
              <w:t>CONT</w:t>
            </w:r>
          </w:p>
        </w:tc>
        <w:tc>
          <w:tcPr>
            <w:tcW w:w="975" w:type="dxa"/>
            <w:shd w:val="clear" w:color="auto" w:fill="D9D9D9" w:themeFill="background1" w:themeFillShade="D9"/>
            <w:vAlign w:val="center"/>
          </w:tcPr>
          <w:p w14:paraId="5A076357" w14:textId="77777777" w:rsidR="000F25EF" w:rsidRPr="009F60C9" w:rsidRDefault="000F25EF" w:rsidP="00031159">
            <w:pPr>
              <w:spacing w:line="360" w:lineRule="auto"/>
              <w:jc w:val="center"/>
              <w:rPr>
                <w:sz w:val="16"/>
                <w:szCs w:val="16"/>
                <w:lang w:val="en-GB"/>
              </w:rPr>
            </w:pPr>
            <w:r w:rsidRPr="009F60C9">
              <w:rPr>
                <w:rFonts w:eastAsiaTheme="majorEastAsia"/>
                <w:color w:val="000000" w:themeColor="text1"/>
                <w:sz w:val="16"/>
                <w:szCs w:val="16"/>
                <w:lang w:val="en-GB"/>
              </w:rPr>
              <w:t>CONT</w:t>
            </w:r>
          </w:p>
        </w:tc>
        <w:tc>
          <w:tcPr>
            <w:tcW w:w="974" w:type="dxa"/>
            <w:shd w:val="clear" w:color="auto" w:fill="D9D9D9" w:themeFill="background1" w:themeFillShade="D9"/>
            <w:vAlign w:val="center"/>
          </w:tcPr>
          <w:p w14:paraId="687AF63E" w14:textId="77777777" w:rsidR="000F25EF" w:rsidRPr="009F60C9" w:rsidRDefault="000F25EF" w:rsidP="00031159">
            <w:pPr>
              <w:spacing w:line="360" w:lineRule="auto"/>
              <w:jc w:val="center"/>
              <w:rPr>
                <w:sz w:val="16"/>
                <w:szCs w:val="16"/>
                <w:lang w:val="en-GB"/>
              </w:rPr>
            </w:pPr>
            <w:r w:rsidRPr="009F60C9">
              <w:rPr>
                <w:rFonts w:eastAsiaTheme="majorEastAsia"/>
                <w:color w:val="000000" w:themeColor="text1"/>
                <w:sz w:val="16"/>
                <w:szCs w:val="16"/>
                <w:lang w:val="en-GB"/>
              </w:rPr>
              <w:t>CONT</w:t>
            </w:r>
          </w:p>
        </w:tc>
        <w:tc>
          <w:tcPr>
            <w:tcW w:w="779" w:type="dxa"/>
            <w:shd w:val="clear" w:color="auto" w:fill="D9D9D9" w:themeFill="background1" w:themeFillShade="D9"/>
            <w:vAlign w:val="center"/>
          </w:tcPr>
          <w:p w14:paraId="5045891B" w14:textId="77777777" w:rsidR="000F25EF" w:rsidRPr="009F60C9" w:rsidRDefault="000F25EF" w:rsidP="00031159">
            <w:pPr>
              <w:spacing w:line="360" w:lineRule="auto"/>
              <w:jc w:val="center"/>
              <w:rPr>
                <w:sz w:val="16"/>
                <w:szCs w:val="16"/>
                <w:lang w:val="en-GB"/>
              </w:rPr>
            </w:pPr>
            <w:r w:rsidRPr="009F60C9">
              <w:rPr>
                <w:rFonts w:eastAsiaTheme="majorEastAsia"/>
                <w:color w:val="000000" w:themeColor="text1"/>
                <w:sz w:val="16"/>
                <w:szCs w:val="16"/>
                <w:lang w:val="en-GB"/>
              </w:rPr>
              <w:t>CONT</w:t>
            </w:r>
          </w:p>
        </w:tc>
        <w:tc>
          <w:tcPr>
            <w:tcW w:w="779" w:type="dxa"/>
            <w:shd w:val="clear" w:color="auto" w:fill="D9D9D9" w:themeFill="background1" w:themeFillShade="D9"/>
            <w:vAlign w:val="center"/>
          </w:tcPr>
          <w:p w14:paraId="16A9AFD2" w14:textId="77777777" w:rsidR="000F25EF" w:rsidRPr="009F60C9" w:rsidRDefault="000F25EF" w:rsidP="00031159">
            <w:pPr>
              <w:spacing w:line="360" w:lineRule="auto"/>
              <w:jc w:val="center"/>
              <w:rPr>
                <w:sz w:val="16"/>
                <w:szCs w:val="16"/>
                <w:lang w:val="en-GB"/>
              </w:rPr>
            </w:pPr>
            <w:r w:rsidRPr="009F60C9">
              <w:rPr>
                <w:rFonts w:eastAsiaTheme="majorEastAsia"/>
                <w:color w:val="000000" w:themeColor="text1"/>
                <w:sz w:val="16"/>
                <w:szCs w:val="16"/>
                <w:lang w:val="en-GB"/>
              </w:rPr>
              <w:t>CONT</w:t>
            </w:r>
          </w:p>
        </w:tc>
        <w:tc>
          <w:tcPr>
            <w:tcW w:w="975" w:type="dxa"/>
            <w:shd w:val="clear" w:color="auto" w:fill="D9D9D9" w:themeFill="background1" w:themeFillShade="D9"/>
            <w:vAlign w:val="center"/>
          </w:tcPr>
          <w:p w14:paraId="06CACB0F" w14:textId="77777777" w:rsidR="000F25EF" w:rsidRPr="009F60C9" w:rsidRDefault="000F25EF" w:rsidP="00031159">
            <w:pPr>
              <w:spacing w:line="360" w:lineRule="auto"/>
              <w:jc w:val="center"/>
              <w:rPr>
                <w:sz w:val="16"/>
                <w:szCs w:val="16"/>
                <w:lang w:val="en-GB"/>
              </w:rPr>
            </w:pPr>
            <w:r w:rsidRPr="009F60C9">
              <w:rPr>
                <w:rFonts w:eastAsiaTheme="majorEastAsia"/>
                <w:color w:val="000000" w:themeColor="text1"/>
                <w:sz w:val="16"/>
                <w:szCs w:val="16"/>
                <w:lang w:val="en-GB"/>
              </w:rPr>
              <w:t>CONT</w:t>
            </w:r>
          </w:p>
        </w:tc>
        <w:tc>
          <w:tcPr>
            <w:tcW w:w="975" w:type="dxa"/>
            <w:shd w:val="clear" w:color="auto" w:fill="8EAADB" w:themeFill="accent1" w:themeFillTint="99"/>
            <w:vAlign w:val="center"/>
          </w:tcPr>
          <w:p w14:paraId="2CDCA1AB" w14:textId="77777777" w:rsidR="000F25EF" w:rsidRPr="009F60C9" w:rsidRDefault="000F25EF" w:rsidP="00031159">
            <w:pPr>
              <w:autoSpaceDE w:val="0"/>
              <w:autoSpaceDN w:val="0"/>
              <w:adjustRightInd w:val="0"/>
              <w:spacing w:line="360" w:lineRule="auto"/>
              <w:jc w:val="center"/>
              <w:outlineLvl w:val="0"/>
              <w:rPr>
                <w:rFonts w:eastAsiaTheme="majorEastAsia"/>
                <w:color w:val="000000" w:themeColor="text1"/>
                <w:sz w:val="16"/>
                <w:szCs w:val="16"/>
                <w:lang w:val="en-GB"/>
              </w:rPr>
            </w:pPr>
            <w:r w:rsidRPr="009F60C9">
              <w:rPr>
                <w:rFonts w:eastAsiaTheme="majorEastAsia"/>
                <w:color w:val="000000" w:themeColor="text1"/>
                <w:sz w:val="16"/>
                <w:szCs w:val="16"/>
                <w:lang w:val="en-GB"/>
              </w:rPr>
              <w:t>INTNT</w:t>
            </w:r>
          </w:p>
        </w:tc>
        <w:tc>
          <w:tcPr>
            <w:tcW w:w="975" w:type="dxa"/>
            <w:shd w:val="clear" w:color="auto" w:fill="8EAADB" w:themeFill="accent1" w:themeFillTint="99"/>
            <w:vAlign w:val="center"/>
          </w:tcPr>
          <w:p w14:paraId="2732DED6" w14:textId="77777777" w:rsidR="000F25EF" w:rsidRPr="009F60C9" w:rsidRDefault="000F25EF" w:rsidP="00031159">
            <w:pPr>
              <w:autoSpaceDE w:val="0"/>
              <w:autoSpaceDN w:val="0"/>
              <w:adjustRightInd w:val="0"/>
              <w:spacing w:line="360" w:lineRule="auto"/>
              <w:jc w:val="center"/>
              <w:outlineLvl w:val="0"/>
              <w:rPr>
                <w:rFonts w:eastAsiaTheme="majorEastAsia"/>
                <w:color w:val="000000" w:themeColor="text1"/>
                <w:sz w:val="16"/>
                <w:szCs w:val="16"/>
                <w:lang w:val="en-GB"/>
              </w:rPr>
            </w:pPr>
            <w:r w:rsidRPr="009F60C9">
              <w:rPr>
                <w:rFonts w:eastAsiaTheme="majorEastAsia"/>
                <w:color w:val="000000" w:themeColor="text1"/>
                <w:sz w:val="16"/>
                <w:szCs w:val="16"/>
                <w:lang w:val="en-GB"/>
              </w:rPr>
              <w:t>INT</w:t>
            </w:r>
          </w:p>
        </w:tc>
      </w:tr>
      <w:tr w:rsidR="000F25EF" w:rsidRPr="009F60C9" w14:paraId="35B13F27" w14:textId="77777777" w:rsidTr="00031159">
        <w:trPr>
          <w:trHeight w:val="145"/>
        </w:trPr>
        <w:tc>
          <w:tcPr>
            <w:tcW w:w="2304" w:type="dxa"/>
          </w:tcPr>
          <w:p w14:paraId="1824E13B" w14:textId="77777777" w:rsidR="000F25EF" w:rsidRPr="009F60C9" w:rsidRDefault="000F25EF" w:rsidP="00031159">
            <w:pPr>
              <w:autoSpaceDE w:val="0"/>
              <w:autoSpaceDN w:val="0"/>
              <w:adjustRightInd w:val="0"/>
              <w:spacing w:line="360" w:lineRule="auto"/>
              <w:ind w:left="-109"/>
              <w:outlineLvl w:val="0"/>
              <w:rPr>
                <w:color w:val="000000"/>
                <w:sz w:val="16"/>
                <w:szCs w:val="16"/>
                <w:lang w:val="en-GB" w:eastAsia="en-GB"/>
              </w:rPr>
            </w:pPr>
            <w:proofErr w:type="spellStart"/>
            <w:r w:rsidRPr="009F60C9">
              <w:rPr>
                <w:color w:val="000000"/>
                <w:sz w:val="16"/>
                <w:szCs w:val="16"/>
                <w:lang w:val="en-GB" w:eastAsia="en-GB"/>
              </w:rPr>
              <w:t>Horo</w:t>
            </w:r>
            <w:proofErr w:type="spellEnd"/>
            <w:r w:rsidRPr="009F60C9">
              <w:rPr>
                <w:color w:val="000000"/>
                <w:sz w:val="16"/>
                <w:szCs w:val="16"/>
                <w:lang w:val="en-GB" w:eastAsia="en-GB"/>
              </w:rPr>
              <w:t xml:space="preserve"> Clinic</w:t>
            </w:r>
          </w:p>
        </w:tc>
        <w:tc>
          <w:tcPr>
            <w:tcW w:w="1006" w:type="dxa"/>
            <w:shd w:val="clear" w:color="auto" w:fill="D9D9D9" w:themeFill="background1" w:themeFillShade="D9"/>
            <w:vAlign w:val="center"/>
          </w:tcPr>
          <w:p w14:paraId="59E15D1D" w14:textId="77777777" w:rsidR="000F25EF" w:rsidRPr="009F60C9" w:rsidRDefault="000F25EF" w:rsidP="00031159">
            <w:pPr>
              <w:spacing w:line="360" w:lineRule="auto"/>
              <w:jc w:val="center"/>
              <w:rPr>
                <w:sz w:val="16"/>
                <w:szCs w:val="16"/>
                <w:lang w:val="en-GB"/>
              </w:rPr>
            </w:pPr>
            <w:r w:rsidRPr="009F60C9">
              <w:rPr>
                <w:rFonts w:eastAsiaTheme="majorEastAsia"/>
                <w:color w:val="000000" w:themeColor="text1"/>
                <w:sz w:val="16"/>
                <w:szCs w:val="16"/>
                <w:lang w:val="en-GB"/>
              </w:rPr>
              <w:t>CONT</w:t>
            </w:r>
          </w:p>
        </w:tc>
        <w:tc>
          <w:tcPr>
            <w:tcW w:w="975" w:type="dxa"/>
            <w:shd w:val="clear" w:color="auto" w:fill="D9D9D9" w:themeFill="background1" w:themeFillShade="D9"/>
            <w:vAlign w:val="center"/>
          </w:tcPr>
          <w:p w14:paraId="35BE02B8" w14:textId="77777777" w:rsidR="000F25EF" w:rsidRPr="009F60C9" w:rsidRDefault="000F25EF" w:rsidP="00031159">
            <w:pPr>
              <w:spacing w:line="360" w:lineRule="auto"/>
              <w:jc w:val="center"/>
              <w:rPr>
                <w:sz w:val="16"/>
                <w:szCs w:val="16"/>
                <w:lang w:val="en-GB"/>
              </w:rPr>
            </w:pPr>
            <w:r w:rsidRPr="009F60C9">
              <w:rPr>
                <w:rFonts w:eastAsiaTheme="majorEastAsia"/>
                <w:color w:val="000000" w:themeColor="text1"/>
                <w:sz w:val="16"/>
                <w:szCs w:val="16"/>
                <w:lang w:val="en-GB"/>
              </w:rPr>
              <w:t>CONT</w:t>
            </w:r>
          </w:p>
        </w:tc>
        <w:tc>
          <w:tcPr>
            <w:tcW w:w="974" w:type="dxa"/>
            <w:shd w:val="clear" w:color="auto" w:fill="D9D9D9" w:themeFill="background1" w:themeFillShade="D9"/>
            <w:vAlign w:val="center"/>
          </w:tcPr>
          <w:p w14:paraId="557B16DF" w14:textId="77777777" w:rsidR="000F25EF" w:rsidRPr="009F60C9" w:rsidRDefault="000F25EF" w:rsidP="00031159">
            <w:pPr>
              <w:spacing w:line="360" w:lineRule="auto"/>
              <w:jc w:val="center"/>
              <w:rPr>
                <w:sz w:val="16"/>
                <w:szCs w:val="16"/>
                <w:lang w:val="en-GB"/>
              </w:rPr>
            </w:pPr>
            <w:r w:rsidRPr="009F60C9">
              <w:rPr>
                <w:rFonts w:eastAsiaTheme="majorEastAsia"/>
                <w:color w:val="000000" w:themeColor="text1"/>
                <w:sz w:val="16"/>
                <w:szCs w:val="16"/>
                <w:lang w:val="en-GB"/>
              </w:rPr>
              <w:t>CONT</w:t>
            </w:r>
          </w:p>
        </w:tc>
        <w:tc>
          <w:tcPr>
            <w:tcW w:w="779" w:type="dxa"/>
            <w:shd w:val="clear" w:color="auto" w:fill="D9D9D9" w:themeFill="background1" w:themeFillShade="D9"/>
            <w:vAlign w:val="center"/>
          </w:tcPr>
          <w:p w14:paraId="6E295488" w14:textId="77777777" w:rsidR="000F25EF" w:rsidRPr="009F60C9" w:rsidRDefault="000F25EF" w:rsidP="00031159">
            <w:pPr>
              <w:spacing w:line="360" w:lineRule="auto"/>
              <w:jc w:val="center"/>
              <w:rPr>
                <w:sz w:val="16"/>
                <w:szCs w:val="16"/>
                <w:lang w:val="en-GB"/>
              </w:rPr>
            </w:pPr>
            <w:r w:rsidRPr="009F60C9">
              <w:rPr>
                <w:rFonts w:eastAsiaTheme="majorEastAsia"/>
                <w:color w:val="000000" w:themeColor="text1"/>
                <w:sz w:val="16"/>
                <w:szCs w:val="16"/>
                <w:lang w:val="en-GB"/>
              </w:rPr>
              <w:t>CONT</w:t>
            </w:r>
          </w:p>
        </w:tc>
        <w:tc>
          <w:tcPr>
            <w:tcW w:w="779" w:type="dxa"/>
            <w:shd w:val="clear" w:color="auto" w:fill="D9D9D9" w:themeFill="background1" w:themeFillShade="D9"/>
            <w:vAlign w:val="center"/>
          </w:tcPr>
          <w:p w14:paraId="429CD859" w14:textId="77777777" w:rsidR="000F25EF" w:rsidRPr="009F60C9" w:rsidRDefault="000F25EF" w:rsidP="00031159">
            <w:pPr>
              <w:spacing w:line="360" w:lineRule="auto"/>
              <w:jc w:val="center"/>
              <w:rPr>
                <w:sz w:val="16"/>
                <w:szCs w:val="16"/>
                <w:lang w:val="en-GB"/>
              </w:rPr>
            </w:pPr>
            <w:r w:rsidRPr="009F60C9">
              <w:rPr>
                <w:rFonts w:eastAsiaTheme="majorEastAsia"/>
                <w:color w:val="000000" w:themeColor="text1"/>
                <w:sz w:val="16"/>
                <w:szCs w:val="16"/>
                <w:lang w:val="en-GB"/>
              </w:rPr>
              <w:t>CONT</w:t>
            </w:r>
          </w:p>
        </w:tc>
        <w:tc>
          <w:tcPr>
            <w:tcW w:w="975" w:type="dxa"/>
            <w:shd w:val="clear" w:color="auto" w:fill="D9D9D9" w:themeFill="background1" w:themeFillShade="D9"/>
            <w:vAlign w:val="center"/>
          </w:tcPr>
          <w:p w14:paraId="16249A63" w14:textId="77777777" w:rsidR="000F25EF" w:rsidRPr="009F60C9" w:rsidRDefault="000F25EF" w:rsidP="00031159">
            <w:pPr>
              <w:spacing w:line="360" w:lineRule="auto"/>
              <w:jc w:val="center"/>
              <w:rPr>
                <w:sz w:val="16"/>
                <w:szCs w:val="16"/>
                <w:lang w:val="en-GB"/>
              </w:rPr>
            </w:pPr>
            <w:r w:rsidRPr="009F60C9">
              <w:rPr>
                <w:rFonts w:eastAsiaTheme="majorEastAsia"/>
                <w:color w:val="000000" w:themeColor="text1"/>
                <w:sz w:val="16"/>
                <w:szCs w:val="16"/>
                <w:lang w:val="en-GB"/>
              </w:rPr>
              <w:t>CONT</w:t>
            </w:r>
          </w:p>
        </w:tc>
        <w:tc>
          <w:tcPr>
            <w:tcW w:w="975" w:type="dxa"/>
            <w:shd w:val="clear" w:color="auto" w:fill="D9D9D9" w:themeFill="background1" w:themeFillShade="D9"/>
            <w:vAlign w:val="center"/>
          </w:tcPr>
          <w:p w14:paraId="15438975" w14:textId="77777777" w:rsidR="000F25EF" w:rsidRPr="009F60C9" w:rsidRDefault="000F25EF" w:rsidP="00031159">
            <w:pPr>
              <w:spacing w:line="360" w:lineRule="auto"/>
              <w:jc w:val="center"/>
              <w:rPr>
                <w:sz w:val="16"/>
                <w:szCs w:val="16"/>
                <w:lang w:val="en-GB"/>
              </w:rPr>
            </w:pPr>
            <w:r w:rsidRPr="009F60C9">
              <w:rPr>
                <w:rFonts w:eastAsiaTheme="majorEastAsia"/>
                <w:color w:val="000000" w:themeColor="text1"/>
                <w:sz w:val="16"/>
                <w:szCs w:val="16"/>
                <w:lang w:val="en-GB"/>
              </w:rPr>
              <w:t>CONT</w:t>
            </w:r>
          </w:p>
        </w:tc>
        <w:tc>
          <w:tcPr>
            <w:tcW w:w="975" w:type="dxa"/>
            <w:shd w:val="clear" w:color="auto" w:fill="8EAADB" w:themeFill="accent1" w:themeFillTint="99"/>
            <w:vAlign w:val="center"/>
          </w:tcPr>
          <w:p w14:paraId="5AFCF78A" w14:textId="77777777" w:rsidR="000F25EF" w:rsidRPr="009F60C9" w:rsidRDefault="000F25EF" w:rsidP="00031159">
            <w:pPr>
              <w:autoSpaceDE w:val="0"/>
              <w:autoSpaceDN w:val="0"/>
              <w:adjustRightInd w:val="0"/>
              <w:spacing w:line="360" w:lineRule="auto"/>
              <w:jc w:val="center"/>
              <w:outlineLvl w:val="0"/>
              <w:rPr>
                <w:rFonts w:eastAsiaTheme="majorEastAsia"/>
                <w:color w:val="000000" w:themeColor="text1"/>
                <w:sz w:val="16"/>
                <w:szCs w:val="16"/>
                <w:lang w:val="en-GB"/>
              </w:rPr>
            </w:pPr>
            <w:r w:rsidRPr="009F60C9">
              <w:rPr>
                <w:rFonts w:eastAsiaTheme="majorEastAsia"/>
                <w:color w:val="000000" w:themeColor="text1"/>
                <w:sz w:val="16"/>
                <w:szCs w:val="16"/>
                <w:lang w:val="en-GB"/>
              </w:rPr>
              <w:t>INT</w:t>
            </w:r>
          </w:p>
        </w:tc>
      </w:tr>
      <w:tr w:rsidR="000F25EF" w:rsidRPr="009F60C9" w14:paraId="2EAC7C3E" w14:textId="77777777" w:rsidTr="00031159">
        <w:trPr>
          <w:trHeight w:val="147"/>
        </w:trPr>
        <w:tc>
          <w:tcPr>
            <w:tcW w:w="2304" w:type="dxa"/>
          </w:tcPr>
          <w:p w14:paraId="6BD082B9" w14:textId="77777777" w:rsidR="000F25EF" w:rsidRPr="009F60C9" w:rsidRDefault="000F25EF" w:rsidP="00031159">
            <w:pPr>
              <w:autoSpaceDE w:val="0"/>
              <w:autoSpaceDN w:val="0"/>
              <w:adjustRightInd w:val="0"/>
              <w:spacing w:line="360" w:lineRule="auto"/>
              <w:ind w:left="-109"/>
              <w:outlineLvl w:val="0"/>
              <w:rPr>
                <w:color w:val="000000"/>
                <w:sz w:val="16"/>
                <w:szCs w:val="16"/>
                <w:lang w:val="en-GB" w:eastAsia="en-GB"/>
              </w:rPr>
            </w:pPr>
            <w:proofErr w:type="spellStart"/>
            <w:r w:rsidRPr="009F60C9">
              <w:rPr>
                <w:color w:val="000000"/>
                <w:sz w:val="16"/>
                <w:szCs w:val="16"/>
                <w:lang w:val="en-GB" w:eastAsia="en-GB"/>
              </w:rPr>
              <w:t>Hhukwini</w:t>
            </w:r>
            <w:proofErr w:type="spellEnd"/>
            <w:r w:rsidRPr="009F60C9">
              <w:rPr>
                <w:color w:val="000000"/>
                <w:sz w:val="16"/>
                <w:szCs w:val="16"/>
                <w:lang w:val="en-GB" w:eastAsia="en-GB"/>
              </w:rPr>
              <w:t xml:space="preserve"> Clinic</w:t>
            </w:r>
          </w:p>
        </w:tc>
        <w:tc>
          <w:tcPr>
            <w:tcW w:w="1006" w:type="dxa"/>
            <w:shd w:val="clear" w:color="auto" w:fill="D9D9D9" w:themeFill="background1" w:themeFillShade="D9"/>
            <w:vAlign w:val="center"/>
          </w:tcPr>
          <w:p w14:paraId="3933DEF4" w14:textId="77777777" w:rsidR="000F25EF" w:rsidRPr="009F60C9" w:rsidRDefault="000F25EF" w:rsidP="00031159">
            <w:pPr>
              <w:spacing w:line="360" w:lineRule="auto"/>
              <w:jc w:val="center"/>
              <w:rPr>
                <w:sz w:val="16"/>
                <w:szCs w:val="16"/>
                <w:lang w:val="en-GB"/>
              </w:rPr>
            </w:pPr>
            <w:r w:rsidRPr="009F60C9">
              <w:rPr>
                <w:rFonts w:eastAsiaTheme="majorEastAsia"/>
                <w:color w:val="000000" w:themeColor="text1"/>
                <w:sz w:val="16"/>
                <w:szCs w:val="16"/>
                <w:lang w:val="en-GB"/>
              </w:rPr>
              <w:t>CONT</w:t>
            </w:r>
          </w:p>
        </w:tc>
        <w:tc>
          <w:tcPr>
            <w:tcW w:w="975" w:type="dxa"/>
            <w:shd w:val="clear" w:color="auto" w:fill="D9D9D9" w:themeFill="background1" w:themeFillShade="D9"/>
            <w:vAlign w:val="center"/>
          </w:tcPr>
          <w:p w14:paraId="15FD1846" w14:textId="77777777" w:rsidR="000F25EF" w:rsidRPr="009F60C9" w:rsidRDefault="000F25EF" w:rsidP="00031159">
            <w:pPr>
              <w:spacing w:line="360" w:lineRule="auto"/>
              <w:jc w:val="center"/>
              <w:rPr>
                <w:sz w:val="16"/>
                <w:szCs w:val="16"/>
                <w:lang w:val="en-GB"/>
              </w:rPr>
            </w:pPr>
            <w:r w:rsidRPr="009F60C9">
              <w:rPr>
                <w:rFonts w:eastAsiaTheme="majorEastAsia"/>
                <w:color w:val="000000" w:themeColor="text1"/>
                <w:sz w:val="16"/>
                <w:szCs w:val="16"/>
                <w:lang w:val="en-GB"/>
              </w:rPr>
              <w:t>CONT</w:t>
            </w:r>
          </w:p>
        </w:tc>
        <w:tc>
          <w:tcPr>
            <w:tcW w:w="974" w:type="dxa"/>
            <w:shd w:val="clear" w:color="auto" w:fill="D9D9D9" w:themeFill="background1" w:themeFillShade="D9"/>
            <w:vAlign w:val="center"/>
          </w:tcPr>
          <w:p w14:paraId="299902E8" w14:textId="77777777" w:rsidR="000F25EF" w:rsidRPr="009F60C9" w:rsidRDefault="000F25EF" w:rsidP="00031159">
            <w:pPr>
              <w:spacing w:line="360" w:lineRule="auto"/>
              <w:jc w:val="center"/>
              <w:rPr>
                <w:sz w:val="16"/>
                <w:szCs w:val="16"/>
                <w:lang w:val="en-GB"/>
              </w:rPr>
            </w:pPr>
            <w:r w:rsidRPr="009F60C9">
              <w:rPr>
                <w:rFonts w:eastAsiaTheme="majorEastAsia"/>
                <w:color w:val="000000" w:themeColor="text1"/>
                <w:sz w:val="16"/>
                <w:szCs w:val="16"/>
                <w:lang w:val="en-GB"/>
              </w:rPr>
              <w:t>CONT</w:t>
            </w:r>
          </w:p>
        </w:tc>
        <w:tc>
          <w:tcPr>
            <w:tcW w:w="779" w:type="dxa"/>
            <w:shd w:val="clear" w:color="auto" w:fill="D9D9D9" w:themeFill="background1" w:themeFillShade="D9"/>
            <w:vAlign w:val="center"/>
          </w:tcPr>
          <w:p w14:paraId="6E115113" w14:textId="77777777" w:rsidR="000F25EF" w:rsidRPr="009F60C9" w:rsidRDefault="000F25EF" w:rsidP="00031159">
            <w:pPr>
              <w:spacing w:line="360" w:lineRule="auto"/>
              <w:jc w:val="center"/>
              <w:rPr>
                <w:sz w:val="16"/>
                <w:szCs w:val="16"/>
                <w:lang w:val="en-GB"/>
              </w:rPr>
            </w:pPr>
            <w:r w:rsidRPr="009F60C9">
              <w:rPr>
                <w:rFonts w:eastAsiaTheme="majorEastAsia"/>
                <w:color w:val="000000" w:themeColor="text1"/>
                <w:sz w:val="16"/>
                <w:szCs w:val="16"/>
                <w:lang w:val="en-GB"/>
              </w:rPr>
              <w:t>CONT</w:t>
            </w:r>
          </w:p>
        </w:tc>
        <w:tc>
          <w:tcPr>
            <w:tcW w:w="779" w:type="dxa"/>
            <w:shd w:val="clear" w:color="auto" w:fill="D9D9D9" w:themeFill="background1" w:themeFillShade="D9"/>
            <w:vAlign w:val="center"/>
          </w:tcPr>
          <w:p w14:paraId="29603B18" w14:textId="77777777" w:rsidR="000F25EF" w:rsidRPr="009F60C9" w:rsidRDefault="000F25EF" w:rsidP="00031159">
            <w:pPr>
              <w:spacing w:line="360" w:lineRule="auto"/>
              <w:jc w:val="center"/>
              <w:rPr>
                <w:sz w:val="16"/>
                <w:szCs w:val="16"/>
                <w:lang w:val="en-GB"/>
              </w:rPr>
            </w:pPr>
            <w:r w:rsidRPr="009F60C9">
              <w:rPr>
                <w:rFonts w:eastAsiaTheme="majorEastAsia"/>
                <w:color w:val="000000" w:themeColor="text1"/>
                <w:sz w:val="16"/>
                <w:szCs w:val="16"/>
                <w:lang w:val="en-GB"/>
              </w:rPr>
              <w:t>CONT</w:t>
            </w:r>
          </w:p>
        </w:tc>
        <w:tc>
          <w:tcPr>
            <w:tcW w:w="975" w:type="dxa"/>
            <w:shd w:val="clear" w:color="auto" w:fill="D9D9D9" w:themeFill="background1" w:themeFillShade="D9"/>
            <w:vAlign w:val="center"/>
          </w:tcPr>
          <w:p w14:paraId="6BC7BE7D" w14:textId="77777777" w:rsidR="000F25EF" w:rsidRPr="009F60C9" w:rsidRDefault="000F25EF" w:rsidP="00031159">
            <w:pPr>
              <w:spacing w:line="360" w:lineRule="auto"/>
              <w:jc w:val="center"/>
              <w:rPr>
                <w:sz w:val="16"/>
                <w:szCs w:val="16"/>
                <w:lang w:val="en-GB"/>
              </w:rPr>
            </w:pPr>
            <w:r w:rsidRPr="009F60C9">
              <w:rPr>
                <w:rFonts w:eastAsiaTheme="majorEastAsia"/>
                <w:color w:val="000000" w:themeColor="text1"/>
                <w:sz w:val="16"/>
                <w:szCs w:val="16"/>
                <w:lang w:val="en-GB"/>
              </w:rPr>
              <w:t>CONT</w:t>
            </w:r>
          </w:p>
        </w:tc>
        <w:tc>
          <w:tcPr>
            <w:tcW w:w="975" w:type="dxa"/>
            <w:shd w:val="clear" w:color="auto" w:fill="D9D9D9" w:themeFill="background1" w:themeFillShade="D9"/>
            <w:vAlign w:val="center"/>
          </w:tcPr>
          <w:p w14:paraId="68E3B925" w14:textId="77777777" w:rsidR="000F25EF" w:rsidRPr="009F60C9" w:rsidRDefault="000F25EF" w:rsidP="00031159">
            <w:pPr>
              <w:spacing w:line="360" w:lineRule="auto"/>
              <w:jc w:val="center"/>
              <w:rPr>
                <w:sz w:val="16"/>
                <w:szCs w:val="16"/>
                <w:lang w:val="en-GB"/>
              </w:rPr>
            </w:pPr>
            <w:r w:rsidRPr="009F60C9">
              <w:rPr>
                <w:rFonts w:eastAsiaTheme="majorEastAsia"/>
                <w:color w:val="000000" w:themeColor="text1"/>
                <w:sz w:val="16"/>
                <w:szCs w:val="16"/>
                <w:lang w:val="en-GB"/>
              </w:rPr>
              <w:t>CONT</w:t>
            </w:r>
          </w:p>
        </w:tc>
        <w:tc>
          <w:tcPr>
            <w:tcW w:w="975" w:type="dxa"/>
            <w:shd w:val="clear" w:color="auto" w:fill="8EAADB" w:themeFill="accent1" w:themeFillTint="99"/>
            <w:vAlign w:val="center"/>
          </w:tcPr>
          <w:p w14:paraId="0342A47A" w14:textId="77777777" w:rsidR="000F25EF" w:rsidRPr="009F60C9" w:rsidRDefault="000F25EF" w:rsidP="00031159">
            <w:pPr>
              <w:autoSpaceDE w:val="0"/>
              <w:autoSpaceDN w:val="0"/>
              <w:adjustRightInd w:val="0"/>
              <w:spacing w:line="360" w:lineRule="auto"/>
              <w:jc w:val="center"/>
              <w:outlineLvl w:val="0"/>
              <w:rPr>
                <w:rFonts w:eastAsiaTheme="majorEastAsia"/>
                <w:color w:val="000000" w:themeColor="text1"/>
                <w:sz w:val="16"/>
                <w:szCs w:val="16"/>
                <w:lang w:val="en-GB"/>
              </w:rPr>
            </w:pPr>
            <w:r w:rsidRPr="009F60C9">
              <w:rPr>
                <w:rFonts w:eastAsiaTheme="majorEastAsia"/>
                <w:color w:val="000000" w:themeColor="text1"/>
                <w:sz w:val="16"/>
                <w:szCs w:val="16"/>
                <w:lang w:val="en-GB"/>
              </w:rPr>
              <w:t>INT</w:t>
            </w:r>
          </w:p>
        </w:tc>
      </w:tr>
    </w:tbl>
    <w:p w14:paraId="2A27188A" w14:textId="77777777" w:rsidR="000F25EF" w:rsidRPr="009F60C9" w:rsidRDefault="000F25EF" w:rsidP="000F25EF">
      <w:pPr>
        <w:spacing w:line="360" w:lineRule="auto"/>
        <w:rPr>
          <w:b/>
          <w:sz w:val="20"/>
          <w:szCs w:val="20"/>
          <w:lang w:val="en-GB"/>
        </w:rPr>
      </w:pPr>
    </w:p>
    <w:p w14:paraId="38E53196" w14:textId="77777777" w:rsidR="000F25EF" w:rsidRPr="004F036B" w:rsidRDefault="000F25EF" w:rsidP="000F25EF">
      <w:pPr>
        <w:pStyle w:val="Heading2"/>
        <w:spacing w:line="480" w:lineRule="auto"/>
        <w:rPr>
          <w:rFonts w:ascii="Times New Roman" w:hAnsi="Times New Roman" w:cs="Times New Roman"/>
          <w:b/>
          <w:color w:val="auto"/>
          <w:sz w:val="24"/>
          <w:szCs w:val="24"/>
          <w:lang w:val="en-GB"/>
        </w:rPr>
      </w:pPr>
      <w:r w:rsidRPr="004F036B">
        <w:rPr>
          <w:rFonts w:ascii="Times New Roman" w:hAnsi="Times New Roman" w:cs="Times New Roman"/>
          <w:b/>
          <w:color w:val="auto"/>
          <w:sz w:val="24"/>
          <w:szCs w:val="24"/>
          <w:lang w:val="en-GB"/>
        </w:rPr>
        <w:lastRenderedPageBreak/>
        <w:t>Control phase: standard of care</w:t>
      </w:r>
    </w:p>
    <w:p w14:paraId="4BAC1DF6" w14:textId="175EFC90" w:rsidR="000F25EF" w:rsidRPr="004F036B" w:rsidRDefault="000F25EF" w:rsidP="000F25EF">
      <w:pPr>
        <w:spacing w:line="480" w:lineRule="auto"/>
        <w:jc w:val="both"/>
        <w:rPr>
          <w:lang w:val="en-GB"/>
        </w:rPr>
      </w:pPr>
      <w:r w:rsidRPr="004F036B">
        <w:rPr>
          <w:lang w:val="en-GB"/>
        </w:rPr>
        <w:t>In the standard</w:t>
      </w:r>
      <w:r>
        <w:rPr>
          <w:lang w:val="en-GB"/>
        </w:rPr>
        <w:t xml:space="preserve"> </w:t>
      </w:r>
      <w:r w:rsidRPr="004F036B">
        <w:rPr>
          <w:lang w:val="en-GB"/>
        </w:rPr>
        <w:t>of</w:t>
      </w:r>
      <w:r>
        <w:rPr>
          <w:lang w:val="en-GB"/>
        </w:rPr>
        <w:t xml:space="preserve"> </w:t>
      </w:r>
      <w:r w:rsidRPr="004F036B">
        <w:rPr>
          <w:lang w:val="en-GB"/>
        </w:rPr>
        <w:t>care phase, following national treatment guidelines effective at the time, ART eligibility was restricted to patients with CD4</w:t>
      </w:r>
      <w:r>
        <w:rPr>
          <w:lang w:val="en-GB"/>
        </w:rPr>
        <w:t>-</w:t>
      </w:r>
      <w:r w:rsidRPr="004F036B">
        <w:rPr>
          <w:lang w:val="en-GB"/>
        </w:rPr>
        <w:t>cell counts of &lt;350 cells/mm</w:t>
      </w:r>
      <w:r w:rsidRPr="004F036B">
        <w:rPr>
          <w:vertAlign w:val="superscript"/>
          <w:lang w:val="en-GB"/>
        </w:rPr>
        <w:t>3</w:t>
      </w:r>
      <w:r w:rsidRPr="004F036B">
        <w:rPr>
          <w:lang w:val="en-GB"/>
        </w:rPr>
        <w:t xml:space="preserve"> in the first 1.5 years of the study. In October 2016, the eligibility threshold was raised to CD4</w:t>
      </w:r>
      <w:r>
        <w:rPr>
          <w:lang w:val="en-GB"/>
        </w:rPr>
        <w:t>-cell</w:t>
      </w:r>
      <w:r w:rsidRPr="004F036B">
        <w:rPr>
          <w:lang w:val="en-GB"/>
        </w:rPr>
        <w:t xml:space="preserve"> counts &lt;500 cells/mm</w:t>
      </w:r>
      <w:r w:rsidRPr="004F036B">
        <w:rPr>
          <w:vertAlign w:val="superscript"/>
          <w:lang w:val="en-GB"/>
        </w:rPr>
        <w:t>3</w:t>
      </w:r>
      <w:r w:rsidRPr="004F036B">
        <w:rPr>
          <w:lang w:val="en-GB"/>
        </w:rPr>
        <w:t>. Eligible patients were typically initiated on Eswatini’s first-line ART regimen (</w:t>
      </w:r>
      <w:r>
        <w:rPr>
          <w:lang w:val="en-GB"/>
        </w:rPr>
        <w:t>Tenofovir (TDF)</w:t>
      </w:r>
      <w:r w:rsidRPr="004F036B">
        <w:rPr>
          <w:lang w:val="en-GB"/>
        </w:rPr>
        <w:t xml:space="preserve"> + </w:t>
      </w:r>
      <w:r>
        <w:rPr>
          <w:lang w:val="en-GB"/>
        </w:rPr>
        <w:t>Lamivudine (3TC)</w:t>
      </w:r>
      <w:r w:rsidRPr="004F036B">
        <w:rPr>
          <w:lang w:val="en-GB"/>
        </w:rPr>
        <w:t xml:space="preserve"> + </w:t>
      </w:r>
      <w:r>
        <w:rPr>
          <w:lang w:val="en-GB"/>
        </w:rPr>
        <w:t>Efavirenz (EFV)</w:t>
      </w:r>
      <w:r w:rsidRPr="004F036B">
        <w:rPr>
          <w:lang w:val="en-GB"/>
        </w:rPr>
        <w:t xml:space="preserve">). Those with contraindications to this regimen were initiated on alternative regimens, including </w:t>
      </w:r>
      <w:r>
        <w:rPr>
          <w:lang w:val="en-GB"/>
        </w:rPr>
        <w:t>TDF + 3TC</w:t>
      </w:r>
      <w:r w:rsidRPr="004F036B">
        <w:rPr>
          <w:lang w:val="en-GB"/>
        </w:rPr>
        <w:t xml:space="preserve"> </w:t>
      </w:r>
      <w:r>
        <w:rPr>
          <w:lang w:val="en-GB"/>
        </w:rPr>
        <w:t xml:space="preserve">+ Nevirapine (NVP) </w:t>
      </w:r>
      <w:r w:rsidRPr="004F036B">
        <w:rPr>
          <w:lang w:val="en-GB"/>
        </w:rPr>
        <w:t xml:space="preserve">or </w:t>
      </w:r>
      <w:r>
        <w:t>Zidovudine (AZT)</w:t>
      </w:r>
      <w:r w:rsidRPr="004F036B" w:rsidDel="00EA10F3">
        <w:rPr>
          <w:lang w:val="en-GB"/>
        </w:rPr>
        <w:t xml:space="preserve"> </w:t>
      </w:r>
      <w:r w:rsidRPr="004F036B">
        <w:rPr>
          <w:lang w:val="en-GB"/>
        </w:rPr>
        <w:t> + </w:t>
      </w:r>
      <w:r w:rsidRPr="00EA10F3">
        <w:rPr>
          <w:lang w:val="en-GB"/>
        </w:rPr>
        <w:t xml:space="preserve"> </w:t>
      </w:r>
      <w:r>
        <w:rPr>
          <w:lang w:val="en-GB"/>
        </w:rPr>
        <w:t>3TC + NVP</w:t>
      </w:r>
      <w:r w:rsidRPr="004F036B">
        <w:rPr>
          <w:lang w:val="en-GB"/>
        </w:rPr>
        <w:t xml:space="preserve"> (when </w:t>
      </w:r>
      <w:r>
        <w:t xml:space="preserve">EFV </w:t>
      </w:r>
      <w:r w:rsidRPr="004F036B">
        <w:rPr>
          <w:lang w:val="en-GB"/>
        </w:rPr>
        <w:t xml:space="preserve"> could not be used); </w:t>
      </w:r>
      <w:r>
        <w:t>Abacavir (ABC)</w:t>
      </w:r>
      <w:r w:rsidRPr="004F036B" w:rsidDel="00CA7583">
        <w:rPr>
          <w:lang w:val="en-GB"/>
        </w:rPr>
        <w:t xml:space="preserve"> </w:t>
      </w:r>
      <w:r w:rsidRPr="004F036B">
        <w:rPr>
          <w:lang w:val="en-GB"/>
        </w:rPr>
        <w:t> + </w:t>
      </w:r>
      <w:r w:rsidRPr="00CA7583">
        <w:t xml:space="preserve"> </w:t>
      </w:r>
      <w:r>
        <w:t>3TC + EFV</w:t>
      </w:r>
      <w:r w:rsidRPr="004F036B">
        <w:rPr>
          <w:lang w:val="en-GB"/>
        </w:rPr>
        <w:t xml:space="preserve"> or </w:t>
      </w:r>
      <w:r>
        <w:rPr>
          <w:lang w:val="en-GB"/>
        </w:rPr>
        <w:t xml:space="preserve">AZT + 3TC + EFV </w:t>
      </w:r>
      <w:r w:rsidRPr="004F036B">
        <w:rPr>
          <w:lang w:val="en-GB"/>
        </w:rPr>
        <w:t xml:space="preserve">(when </w:t>
      </w:r>
      <w:r>
        <w:t xml:space="preserve">TDF </w:t>
      </w:r>
      <w:r w:rsidRPr="004F036B">
        <w:rPr>
          <w:lang w:val="en-GB"/>
        </w:rPr>
        <w:t xml:space="preserve"> could not be used); </w:t>
      </w:r>
      <w:r>
        <w:rPr>
          <w:lang w:val="en-GB"/>
        </w:rPr>
        <w:t xml:space="preserve">ABC + 3TC + EFV </w:t>
      </w:r>
      <w:r w:rsidRPr="004F036B">
        <w:rPr>
          <w:lang w:val="en-GB"/>
        </w:rPr>
        <w:t xml:space="preserve">or </w:t>
      </w:r>
      <w:r>
        <w:rPr>
          <w:lang w:val="en-GB"/>
        </w:rPr>
        <w:t>Stavudine (D4T)</w:t>
      </w:r>
      <w:r w:rsidRPr="004F036B">
        <w:rPr>
          <w:lang w:val="en-GB"/>
        </w:rPr>
        <w:t> + </w:t>
      </w:r>
      <w:r w:rsidRPr="00CA7583">
        <w:t xml:space="preserve"> </w:t>
      </w:r>
      <w:r>
        <w:t>3TC + EFV</w:t>
      </w:r>
      <w:r w:rsidRPr="004F036B">
        <w:rPr>
          <w:lang w:val="en-GB"/>
        </w:rPr>
        <w:t xml:space="preserve"> (when </w:t>
      </w:r>
      <w:r>
        <w:t xml:space="preserve">AZT </w:t>
      </w:r>
      <w:r w:rsidRPr="004F036B">
        <w:rPr>
          <w:lang w:val="en-GB"/>
        </w:rPr>
        <w:t xml:space="preserve">could not be used). </w:t>
      </w:r>
      <w:bookmarkStart w:id="18" w:name="_Hlk47254470"/>
      <w:r w:rsidRPr="004F036B">
        <w:rPr>
          <w:lang w:val="en-GB"/>
        </w:rPr>
        <w:t xml:space="preserve">Patients attended </w:t>
      </w:r>
      <w:r>
        <w:rPr>
          <w:lang w:val="en-GB"/>
        </w:rPr>
        <w:t>one</w:t>
      </w:r>
      <w:r w:rsidRPr="004F036B">
        <w:rPr>
          <w:lang w:val="en-GB"/>
        </w:rPr>
        <w:t xml:space="preserve"> private </w:t>
      </w:r>
      <w:r>
        <w:rPr>
          <w:lang w:val="en-GB"/>
        </w:rPr>
        <w:t>and one</w:t>
      </w:r>
      <w:r w:rsidRPr="004F036B">
        <w:rPr>
          <w:lang w:val="en-GB"/>
        </w:rPr>
        <w:t xml:space="preserve"> group counselling session prior to initiation. </w:t>
      </w:r>
      <w:r>
        <w:rPr>
          <w:lang w:val="en-GB"/>
        </w:rPr>
        <w:t>While same-day ART initiation was allowed according to the na</w:t>
      </w:r>
      <w:r w:rsidRPr="0071535C">
        <w:rPr>
          <w:lang w:val="en-GB"/>
        </w:rPr>
        <w:t>tional Integrated HIV Management Guidelines</w:t>
      </w:r>
      <w:r>
        <w:rPr>
          <w:lang w:val="en-GB"/>
        </w:rPr>
        <w:t>,</w:t>
      </w:r>
      <w:r w:rsidR="00474280" w:rsidRPr="00474280">
        <w:rPr>
          <w:vertAlign w:val="superscript"/>
        </w:rPr>
        <w:t>34</w:t>
      </w:r>
      <w:r>
        <w:rPr>
          <w:lang w:val="en-GB"/>
        </w:rPr>
        <w:t xml:space="preserve"> HIV diagnosis and ART initiation in the respective facilities were typically a few days apart. </w:t>
      </w:r>
    </w:p>
    <w:bookmarkEnd w:id="18"/>
    <w:p w14:paraId="2506315F" w14:textId="77777777" w:rsidR="000F25EF" w:rsidRPr="004F036B" w:rsidRDefault="000F25EF" w:rsidP="000F25EF">
      <w:pPr>
        <w:spacing w:line="480" w:lineRule="auto"/>
        <w:rPr>
          <w:b/>
          <w:lang w:val="en-GB"/>
        </w:rPr>
      </w:pPr>
    </w:p>
    <w:p w14:paraId="79A0DC87" w14:textId="77777777" w:rsidR="000F25EF" w:rsidRPr="004F036B" w:rsidRDefault="000F25EF" w:rsidP="000F25EF">
      <w:pPr>
        <w:pStyle w:val="Heading2"/>
        <w:spacing w:line="480" w:lineRule="auto"/>
        <w:rPr>
          <w:rFonts w:ascii="Times New Roman" w:hAnsi="Times New Roman" w:cs="Times New Roman"/>
          <w:b/>
          <w:color w:val="000000" w:themeColor="text1"/>
          <w:sz w:val="24"/>
          <w:szCs w:val="24"/>
          <w:lang w:val="en-GB"/>
        </w:rPr>
      </w:pPr>
      <w:r w:rsidRPr="004F036B">
        <w:rPr>
          <w:rFonts w:ascii="Times New Roman" w:hAnsi="Times New Roman" w:cs="Times New Roman"/>
          <w:b/>
          <w:color w:val="000000" w:themeColor="text1"/>
          <w:sz w:val="24"/>
          <w:szCs w:val="24"/>
          <w:lang w:val="en-GB"/>
        </w:rPr>
        <w:t>Intervention phase: Early Access to ART for All (EAAA)</w:t>
      </w:r>
    </w:p>
    <w:p w14:paraId="2B393123" w14:textId="77777777" w:rsidR="000F25EF" w:rsidRDefault="000F25EF" w:rsidP="000F25EF">
      <w:pPr>
        <w:spacing w:line="480" w:lineRule="auto"/>
        <w:jc w:val="both"/>
        <w:rPr>
          <w:lang w:val="en-GB"/>
        </w:rPr>
      </w:pPr>
      <w:r w:rsidRPr="004F036B">
        <w:rPr>
          <w:lang w:val="en-GB"/>
        </w:rPr>
        <w:t>During the EAAA intervention phase, all patients who tested HIV-positive as well as patients enrolled in pre-ART care were offered immediate ART initiation, independent of their CD4</w:t>
      </w:r>
      <w:r>
        <w:rPr>
          <w:lang w:val="en-GB"/>
        </w:rPr>
        <w:t>-</w:t>
      </w:r>
      <w:r w:rsidRPr="004F036B">
        <w:rPr>
          <w:lang w:val="en-GB"/>
        </w:rPr>
        <w:t xml:space="preserve">cell count. They received </w:t>
      </w:r>
      <w:r>
        <w:rPr>
          <w:lang w:val="en-GB"/>
        </w:rPr>
        <w:t xml:space="preserve">one </w:t>
      </w:r>
      <w:r w:rsidRPr="004F036B">
        <w:rPr>
          <w:lang w:val="en-GB"/>
        </w:rPr>
        <w:t>counselling</w:t>
      </w:r>
      <w:r>
        <w:rPr>
          <w:lang w:val="en-GB"/>
        </w:rPr>
        <w:t xml:space="preserve"> session</w:t>
      </w:r>
      <w:r w:rsidRPr="004F036B">
        <w:rPr>
          <w:lang w:val="en-GB"/>
        </w:rPr>
        <w:t xml:space="preserve"> and ART initiation on the same day and further monthly counselling after initiation. </w:t>
      </w:r>
      <w:r>
        <w:rPr>
          <w:lang w:val="en-GB"/>
        </w:rPr>
        <w:t>As in</w:t>
      </w:r>
      <w:r w:rsidRPr="004F036B">
        <w:rPr>
          <w:lang w:val="en-GB"/>
        </w:rPr>
        <w:t xml:space="preserve"> the standard of care, patients in the EAAA </w:t>
      </w:r>
      <w:r>
        <w:rPr>
          <w:lang w:val="en-GB"/>
        </w:rPr>
        <w:t>programme</w:t>
      </w:r>
      <w:r w:rsidRPr="004F036B">
        <w:rPr>
          <w:lang w:val="en-GB"/>
        </w:rPr>
        <w:t xml:space="preserve"> were initiated on </w:t>
      </w:r>
      <w:r>
        <w:rPr>
          <w:lang w:val="en-GB"/>
        </w:rPr>
        <w:t>Eswatini’s</w:t>
      </w:r>
      <w:r w:rsidRPr="004F036B">
        <w:rPr>
          <w:lang w:val="en-GB"/>
        </w:rPr>
        <w:t xml:space="preserve"> first-line treatment regimen or</w:t>
      </w:r>
      <w:r>
        <w:rPr>
          <w:lang w:val="en-GB"/>
        </w:rPr>
        <w:t>, if contraindicated,</w:t>
      </w:r>
      <w:r w:rsidRPr="004F036B">
        <w:rPr>
          <w:lang w:val="en-GB"/>
        </w:rPr>
        <w:t xml:space="preserve"> on the same alternative regimens </w:t>
      </w:r>
      <w:r>
        <w:rPr>
          <w:lang w:val="en-GB"/>
        </w:rPr>
        <w:t>detailed above</w:t>
      </w:r>
      <w:r w:rsidRPr="004F036B">
        <w:rPr>
          <w:lang w:val="en-GB"/>
        </w:rPr>
        <w:t xml:space="preserve">.  </w:t>
      </w:r>
    </w:p>
    <w:p w14:paraId="4C1EDC90" w14:textId="77777777" w:rsidR="000F25EF" w:rsidRPr="004F036B" w:rsidRDefault="000F25EF" w:rsidP="000F25EF">
      <w:pPr>
        <w:spacing w:line="480" w:lineRule="auto"/>
        <w:jc w:val="both"/>
        <w:rPr>
          <w:lang w:val="en-GB"/>
        </w:rPr>
      </w:pPr>
    </w:p>
    <w:p w14:paraId="570059C7" w14:textId="77777777" w:rsidR="000F25EF" w:rsidRPr="004F036B" w:rsidRDefault="000F25EF" w:rsidP="000F25EF">
      <w:pPr>
        <w:pStyle w:val="Heading2"/>
        <w:spacing w:line="480" w:lineRule="auto"/>
        <w:rPr>
          <w:rFonts w:ascii="Times New Roman" w:hAnsi="Times New Roman" w:cs="Times New Roman"/>
          <w:b/>
          <w:color w:val="auto"/>
          <w:sz w:val="24"/>
          <w:szCs w:val="24"/>
          <w:lang w:val="en-GB"/>
        </w:rPr>
      </w:pPr>
      <w:r w:rsidRPr="004F036B">
        <w:rPr>
          <w:rFonts w:ascii="Times New Roman" w:hAnsi="Times New Roman" w:cs="Times New Roman"/>
          <w:b/>
          <w:color w:val="auto"/>
          <w:sz w:val="24"/>
          <w:szCs w:val="24"/>
          <w:lang w:val="en-GB"/>
        </w:rPr>
        <w:t>Data collection</w:t>
      </w:r>
    </w:p>
    <w:p w14:paraId="4380FC7D" w14:textId="16A6ED24" w:rsidR="000F25EF" w:rsidRPr="004F036B" w:rsidRDefault="000F25EF" w:rsidP="000F25EF">
      <w:pPr>
        <w:spacing w:line="480" w:lineRule="auto"/>
        <w:jc w:val="both"/>
        <w:rPr>
          <w:highlight w:val="yellow"/>
          <w:lang w:val="en-GB"/>
        </w:rPr>
      </w:pPr>
      <w:r w:rsidRPr="004F036B">
        <w:rPr>
          <w:rFonts w:eastAsiaTheme="majorEastAsia"/>
          <w:color w:val="000000" w:themeColor="text1"/>
          <w:lang w:val="en-GB"/>
        </w:rPr>
        <w:t xml:space="preserve">Data was collected </w:t>
      </w:r>
      <w:r w:rsidRPr="004F036B">
        <w:rPr>
          <w:lang w:val="en-GB"/>
        </w:rPr>
        <w:t>via standardised paper-based questionnaires</w:t>
      </w:r>
      <w:r w:rsidRPr="004F036B">
        <w:rPr>
          <w:rFonts w:eastAsiaTheme="majorEastAsia"/>
          <w:color w:val="000000" w:themeColor="text1"/>
          <w:lang w:val="en-GB"/>
        </w:rPr>
        <w:t xml:space="preserve"> over eight time periods (baseline and seven transitions).</w:t>
      </w:r>
      <w:r w:rsidRPr="004F036B">
        <w:rPr>
          <w:color w:val="000000" w:themeColor="text1"/>
          <w:lang w:val="en-GB"/>
        </w:rPr>
        <w:t xml:space="preserve"> In every period, a sample of</w:t>
      </w:r>
      <w:r>
        <w:rPr>
          <w:color w:val="000000" w:themeColor="text1"/>
          <w:lang w:val="en-GB"/>
        </w:rPr>
        <w:t xml:space="preserve"> all</w:t>
      </w:r>
      <w:r w:rsidRPr="004F036B">
        <w:rPr>
          <w:color w:val="000000" w:themeColor="text1"/>
          <w:lang w:val="en-GB"/>
        </w:rPr>
        <w:t xml:space="preserve"> HIV-</w:t>
      </w:r>
      <w:r>
        <w:rPr>
          <w:color w:val="000000" w:themeColor="text1"/>
          <w:lang w:val="en-GB"/>
        </w:rPr>
        <w:t>care</w:t>
      </w:r>
      <w:r w:rsidRPr="004F036B">
        <w:rPr>
          <w:color w:val="000000" w:themeColor="text1"/>
          <w:lang w:val="en-GB"/>
        </w:rPr>
        <w:t xml:space="preserve"> patients in each of </w:t>
      </w:r>
      <w:r w:rsidRPr="004F036B">
        <w:rPr>
          <w:color w:val="000000" w:themeColor="text1"/>
          <w:lang w:val="en-GB"/>
        </w:rPr>
        <w:lastRenderedPageBreak/>
        <w:t>the enrolled healthcare facilities was randomly selected.</w:t>
      </w:r>
      <w:r w:rsidRPr="004F036B">
        <w:rPr>
          <w:lang w:val="en-GB"/>
        </w:rPr>
        <w:t xml:space="preserve"> </w:t>
      </w:r>
      <w:bookmarkStart w:id="19" w:name="_Hlk47941584"/>
      <w:r w:rsidRPr="004F036B">
        <w:rPr>
          <w:lang w:val="en-GB"/>
        </w:rPr>
        <w:t>Eligibility was constrained to patients who were</w:t>
      </w:r>
      <w:r w:rsidRPr="00A20389">
        <w:t xml:space="preserve"> </w:t>
      </w:r>
      <w:bookmarkStart w:id="20" w:name="_Hlk48636030"/>
      <w:r w:rsidRPr="00A20389">
        <w:rPr>
          <w:lang w:val="en-GB"/>
        </w:rPr>
        <w:t>HIV-positive</w:t>
      </w:r>
      <w:r>
        <w:rPr>
          <w:lang w:val="en-GB"/>
        </w:rPr>
        <w:t xml:space="preserve"> and ART-naïve, who were</w:t>
      </w:r>
      <w:r w:rsidRPr="004F036B">
        <w:rPr>
          <w:lang w:val="en-GB"/>
        </w:rPr>
        <w:t xml:space="preserve"> over the age of 18 years</w:t>
      </w:r>
      <w:r>
        <w:rPr>
          <w:lang w:val="en-GB"/>
        </w:rPr>
        <w:t>,</w:t>
      </w:r>
      <w:r w:rsidRPr="004F036B">
        <w:rPr>
          <w:lang w:val="en-GB"/>
        </w:rPr>
        <w:t xml:space="preserve"> and who were neither pregnant nor breastfeeding</w:t>
      </w:r>
      <w:bookmarkStart w:id="21" w:name="_Hlk47608816"/>
      <w:bookmarkStart w:id="22" w:name="_Hlk47012307"/>
      <w:bookmarkEnd w:id="20"/>
      <w:r w:rsidRPr="004F036B">
        <w:rPr>
          <w:lang w:val="en-GB"/>
        </w:rPr>
        <w:t xml:space="preserve">. </w:t>
      </w:r>
      <w:bookmarkStart w:id="23" w:name="_Hlk47107827"/>
      <w:r>
        <w:rPr>
          <w:lang w:val="en-GB"/>
        </w:rPr>
        <w:t xml:space="preserve">Patients were eligible irrespective of whether ART initiation could take place on the same day of HIV diagnosis or a few days thereafter. </w:t>
      </w:r>
      <w:bookmarkEnd w:id="19"/>
      <w:r w:rsidRPr="004F036B">
        <w:rPr>
          <w:lang w:val="en-GB"/>
        </w:rPr>
        <w:t xml:space="preserve">For each facility, the study team randomly selected data collection days. On these days, </w:t>
      </w:r>
      <w:r>
        <w:rPr>
          <w:lang w:val="en-GB"/>
        </w:rPr>
        <w:t>the study team adopted the sampling strategy of selecting the next patient entering the consultation room</w:t>
      </w:r>
      <w:bookmarkEnd w:id="21"/>
      <w:bookmarkEnd w:id="22"/>
      <w:r>
        <w:rPr>
          <w:lang w:val="en-GB"/>
        </w:rPr>
        <w:t>. This strategy yields a representative sample</w:t>
      </w:r>
      <w:r w:rsidRPr="00622798">
        <w:t xml:space="preserve"> </w:t>
      </w:r>
      <w:r>
        <w:t xml:space="preserve">if </w:t>
      </w:r>
      <w:r w:rsidRPr="00622798">
        <w:rPr>
          <w:lang w:val="en-GB"/>
        </w:rPr>
        <w:t>the sample size is sufficiently large and the order with which patients are seen by a clinician is random</w:t>
      </w:r>
      <w:r>
        <w:rPr>
          <w:lang w:val="en-GB"/>
        </w:rPr>
        <w:t xml:space="preserve">. Monte Carlo simulations have shown that this sampling strategy also tends to be more efficient and unbiased compared to simple and systematic random sampling, and does not underrepresent potentially healthier patients with shorter consultations as is the case when sampling those </w:t>
      </w:r>
      <w:r w:rsidRPr="00907A04">
        <w:rPr>
          <w:i/>
          <w:lang w:val="en-GB"/>
        </w:rPr>
        <w:t xml:space="preserve">exiting </w:t>
      </w:r>
      <w:r>
        <w:rPr>
          <w:lang w:val="en-GB"/>
        </w:rPr>
        <w:t>the consultation room.</w:t>
      </w:r>
      <w:r w:rsidR="00474280" w:rsidRPr="00474280">
        <w:rPr>
          <w:vertAlign w:val="superscript"/>
        </w:rPr>
        <w:t>35</w:t>
      </w:r>
      <w:r w:rsidRPr="004F036B">
        <w:rPr>
          <w:lang w:val="en-GB"/>
        </w:rPr>
        <w:t xml:space="preserve"> </w:t>
      </w:r>
      <w:bookmarkEnd w:id="23"/>
      <w:r w:rsidRPr="004F036B">
        <w:rPr>
          <w:lang w:val="en-GB"/>
        </w:rPr>
        <w:t xml:space="preserve">Respondents gave verbal and written consent before completing the interview and were informed about their right to decline or withdraw their participation at any point in time. </w:t>
      </w:r>
      <w:bookmarkStart w:id="24" w:name="_Hlk46941581"/>
      <w:r>
        <w:rPr>
          <w:lang w:val="en-GB"/>
        </w:rPr>
        <w:t xml:space="preserve">No prior sample size calculations were performed. </w:t>
      </w:r>
      <w:bookmarkEnd w:id="24"/>
    </w:p>
    <w:p w14:paraId="46630F0B" w14:textId="77777777" w:rsidR="000F25EF" w:rsidRDefault="000F25EF" w:rsidP="000F25EF">
      <w:pPr>
        <w:spacing w:line="480" w:lineRule="auto"/>
        <w:rPr>
          <w:b/>
          <w:lang w:val="en-GB"/>
        </w:rPr>
      </w:pPr>
    </w:p>
    <w:p w14:paraId="6144E559" w14:textId="77777777" w:rsidR="000F25EF" w:rsidRPr="004F036B" w:rsidRDefault="000F25EF" w:rsidP="000F25EF">
      <w:pPr>
        <w:pStyle w:val="Heading2"/>
        <w:spacing w:line="480" w:lineRule="auto"/>
        <w:rPr>
          <w:rFonts w:ascii="Times New Roman" w:hAnsi="Times New Roman" w:cs="Times New Roman"/>
          <w:b/>
          <w:color w:val="auto"/>
          <w:sz w:val="24"/>
          <w:szCs w:val="24"/>
          <w:lang w:val="en-GB"/>
        </w:rPr>
      </w:pPr>
      <w:r w:rsidRPr="004F036B">
        <w:rPr>
          <w:rFonts w:ascii="Times New Roman" w:hAnsi="Times New Roman" w:cs="Times New Roman"/>
          <w:b/>
          <w:color w:val="auto"/>
          <w:sz w:val="24"/>
          <w:szCs w:val="24"/>
          <w:lang w:val="en-GB"/>
        </w:rPr>
        <w:t>Outcomes</w:t>
      </w:r>
    </w:p>
    <w:p w14:paraId="2B1F64B2" w14:textId="4F73226E" w:rsidR="000F25EF" w:rsidRPr="008B5BA3" w:rsidRDefault="000F25EF" w:rsidP="000F25EF">
      <w:pPr>
        <w:spacing w:line="480" w:lineRule="auto"/>
        <w:jc w:val="both"/>
        <w:rPr>
          <w:rFonts w:ascii="TimesNewRomanPSMT" w:eastAsiaTheme="minorHAnsi" w:hAnsi="TimesNewRomanPSMT" w:cs="TimesNewRomanPSMT"/>
          <w:sz w:val="16"/>
          <w:szCs w:val="16"/>
        </w:rPr>
      </w:pPr>
      <w:r w:rsidRPr="004F036B">
        <w:rPr>
          <w:lang w:val="en-GB"/>
        </w:rPr>
        <w:t xml:space="preserve">We assessed the impact of the EAAA intervention on four economic outcomes. First, patients’ time use during the day prior to the interview was measured by collecting detailed information on hourly activities for a cycle of 24 hours. </w:t>
      </w:r>
      <w:r>
        <w:rPr>
          <w:lang w:val="en-GB"/>
        </w:rPr>
        <w:t>For our analysis, we specified two outcomes that are indicative of patients’ productivity levels</w:t>
      </w:r>
      <w:r w:rsidRPr="004F036B">
        <w:rPr>
          <w:lang w:val="en-GB"/>
        </w:rPr>
        <w:t>: (</w:t>
      </w:r>
      <w:proofErr w:type="spellStart"/>
      <w:r w:rsidRPr="004F036B">
        <w:rPr>
          <w:lang w:val="en-GB"/>
        </w:rPr>
        <w:t>i</w:t>
      </w:r>
      <w:proofErr w:type="spellEnd"/>
      <w:r w:rsidRPr="004F036B">
        <w:rPr>
          <w:lang w:val="en-GB"/>
        </w:rPr>
        <w:t xml:space="preserve">) “non-resting time” to capture the total hours spent on activities other than sleeping and resting, and (ii) “income-generating time” to capture the total hours spent on any income generation activities, which comprised formal employment, primary production activities in the informal sector, subsistence farming, and income generated from own businesses (i.e., from the sale of goods). The second outcome was patients’ current </w:t>
      </w:r>
      <w:r>
        <w:rPr>
          <w:lang w:val="en-GB"/>
        </w:rPr>
        <w:lastRenderedPageBreak/>
        <w:t>labour market participation</w:t>
      </w:r>
      <w:r w:rsidRPr="004F036B">
        <w:rPr>
          <w:lang w:val="en-GB"/>
        </w:rPr>
        <w:t>, categorised as “employed” if patients were</w:t>
      </w:r>
      <w:r>
        <w:rPr>
          <w:lang w:val="en-GB"/>
        </w:rPr>
        <w:t xml:space="preserve"> </w:t>
      </w:r>
      <w:r w:rsidRPr="004F036B">
        <w:rPr>
          <w:lang w:val="en-GB"/>
        </w:rPr>
        <w:t>working or engaged in subsistence farming</w:t>
      </w:r>
      <w:r>
        <w:rPr>
          <w:lang w:val="en-GB"/>
        </w:rPr>
        <w:t xml:space="preserve"> (either part- or </w:t>
      </w:r>
      <w:r w:rsidRPr="004F036B">
        <w:rPr>
          <w:lang w:val="en-GB"/>
        </w:rPr>
        <w:t>full-time</w:t>
      </w:r>
      <w:r>
        <w:rPr>
          <w:lang w:val="en-GB"/>
        </w:rPr>
        <w:t>),</w:t>
      </w:r>
      <w:r w:rsidRPr="004F036B">
        <w:rPr>
          <w:lang w:val="en-GB"/>
        </w:rPr>
        <w:t xml:space="preserve"> and categorised as “not employed” if patients were unemployed, retired or taking sick or other leave. The third outcome was patients’ total past-month household expenditures on food- and non-food items, which was measured by asking </w:t>
      </w:r>
      <w:r>
        <w:rPr>
          <w:lang w:val="en-GB"/>
        </w:rPr>
        <w:t xml:space="preserve">each </w:t>
      </w:r>
      <w:r w:rsidRPr="004F036B">
        <w:rPr>
          <w:lang w:val="en-GB"/>
        </w:rPr>
        <w:t>participant how much their household spends on 20 common expenditure items in a normal month (or, if the respondent preferred, in the past year) as well as on “other usual expenses” and “large purchases or expenses in the last 12 months” that were not mentioned in the list of common expenditure items.</w:t>
      </w:r>
      <w:r>
        <w:rPr>
          <w:lang w:val="en-GB"/>
        </w:rPr>
        <w:t xml:space="preserve"> </w:t>
      </w:r>
      <w:bookmarkStart w:id="25" w:name="_Hlk47020877"/>
      <w:r>
        <w:rPr>
          <w:lang w:val="en-GB"/>
        </w:rPr>
        <w:t>We opted for expenditure rather than income data because it is less affected by possible seasonal fluctuations in earnings and therefore better reflects a welfare level that households can maintain though consumption smoothing and informal borrowing</w:t>
      </w:r>
      <w:bookmarkEnd w:id="25"/>
      <w:r>
        <w:rPr>
          <w:lang w:val="en-GB"/>
        </w:rPr>
        <w:t>.</w:t>
      </w:r>
      <w:r w:rsidR="00474280" w:rsidRPr="00474280">
        <w:rPr>
          <w:vertAlign w:val="superscript"/>
        </w:rPr>
        <w:t>36,37</w:t>
      </w:r>
      <w:r>
        <w:rPr>
          <w:lang w:val="en-GB"/>
        </w:rPr>
        <w:t xml:space="preserve"> </w:t>
      </w:r>
      <w:r w:rsidRPr="004F036B">
        <w:rPr>
          <w:lang w:val="en-GB"/>
        </w:rPr>
        <w:t>The last outcome was household living standards, measured as an additive index counting the total number of realised housing quality indicators (</w:t>
      </w:r>
      <w:r>
        <w:rPr>
          <w:lang w:val="en-GB"/>
        </w:rPr>
        <w:t xml:space="preserve">12 items, </w:t>
      </w:r>
      <w:r w:rsidRPr="004F036B">
        <w:rPr>
          <w:lang w:val="en-GB"/>
        </w:rPr>
        <w:t>e.g., drinking water inside the house, concrete walls, flush toilet, etc.) and assets owned (</w:t>
      </w:r>
      <w:r>
        <w:rPr>
          <w:lang w:val="en-GB"/>
        </w:rPr>
        <w:t xml:space="preserve">30 items, </w:t>
      </w:r>
      <w:r w:rsidRPr="004F036B">
        <w:rPr>
          <w:lang w:val="en-GB"/>
        </w:rPr>
        <w:t xml:space="preserve">e.g., refrigerator, phone, TV, animals, etc.). </w:t>
      </w:r>
      <w:r>
        <w:rPr>
          <w:lang w:val="en-GB"/>
        </w:rPr>
        <w:t>In line with economic literature,</w:t>
      </w:r>
      <w:r w:rsidR="00474280" w:rsidRPr="00474280">
        <w:rPr>
          <w:vertAlign w:val="superscript"/>
        </w:rPr>
        <w:t>27,36</w:t>
      </w:r>
      <w:r>
        <w:rPr>
          <w:lang w:val="en-GB"/>
        </w:rPr>
        <w:t xml:space="preserve"> we also computed a principal-component-weighted index from the answers to these housing quality indicators and owned assets as an alternative metric to the additive index, reported in </w:t>
      </w:r>
      <w:r w:rsidR="00456B3D">
        <w:rPr>
          <w:color w:val="000000" w:themeColor="text1"/>
          <w:lang w:val="en-GB"/>
        </w:rPr>
        <w:t xml:space="preserve">Supplementary </w:t>
      </w:r>
      <w:r w:rsidR="00A13884">
        <w:rPr>
          <w:color w:val="000000" w:themeColor="text1"/>
          <w:lang w:val="en-GB"/>
        </w:rPr>
        <w:t>F</w:t>
      </w:r>
      <w:r w:rsidR="00456B3D">
        <w:rPr>
          <w:color w:val="000000" w:themeColor="text1"/>
          <w:lang w:val="en-GB"/>
        </w:rPr>
        <w:t>ile 1</w:t>
      </w:r>
      <w:r w:rsidR="003E250C">
        <w:rPr>
          <w:color w:val="000000" w:themeColor="text1"/>
          <w:lang w:val="en-GB"/>
        </w:rPr>
        <w:t>H</w:t>
      </w:r>
      <w:r>
        <w:rPr>
          <w:lang w:val="en-GB"/>
        </w:rPr>
        <w:t xml:space="preserve"> </w:t>
      </w:r>
      <w:r>
        <w:t xml:space="preserve">Information on time use and employment was captured for the full sample. In order to reduce the length of the questionnaire, questions on household expenditures and household living standards were asked to every second participant who was interviewed. </w:t>
      </w:r>
    </w:p>
    <w:p w14:paraId="6E66C093" w14:textId="77777777" w:rsidR="000F25EF" w:rsidRDefault="000F25EF" w:rsidP="000F25EF">
      <w:pPr>
        <w:spacing w:line="480" w:lineRule="auto"/>
      </w:pPr>
    </w:p>
    <w:p w14:paraId="76F6C547" w14:textId="77777777" w:rsidR="000F25EF" w:rsidRPr="004F036B" w:rsidRDefault="000F25EF" w:rsidP="000F25EF">
      <w:pPr>
        <w:pStyle w:val="Heading2"/>
        <w:spacing w:line="480" w:lineRule="auto"/>
        <w:rPr>
          <w:rFonts w:ascii="Times New Roman" w:hAnsi="Times New Roman" w:cs="Times New Roman"/>
          <w:b/>
          <w:color w:val="auto"/>
          <w:sz w:val="24"/>
          <w:szCs w:val="24"/>
          <w:lang w:val="en-GB"/>
        </w:rPr>
      </w:pPr>
      <w:r w:rsidRPr="004F036B">
        <w:rPr>
          <w:rFonts w:ascii="Times New Roman" w:hAnsi="Times New Roman" w:cs="Times New Roman"/>
          <w:b/>
          <w:color w:val="auto"/>
          <w:sz w:val="24"/>
          <w:szCs w:val="24"/>
          <w:lang w:val="en-GB"/>
        </w:rPr>
        <w:t>Ethics</w:t>
      </w:r>
    </w:p>
    <w:p w14:paraId="73FB3AFD" w14:textId="77777777" w:rsidR="000F25EF" w:rsidRPr="004F036B" w:rsidRDefault="000F25EF" w:rsidP="000F25EF">
      <w:pPr>
        <w:spacing w:line="480" w:lineRule="auto"/>
        <w:jc w:val="both"/>
        <w:rPr>
          <w:lang w:val="en-GB"/>
        </w:rPr>
      </w:pPr>
      <w:r w:rsidRPr="004F036B">
        <w:rPr>
          <w:lang w:val="en-GB"/>
        </w:rPr>
        <w:t xml:space="preserve">Ethical approval for this study was obtained from </w:t>
      </w:r>
      <w:bookmarkStart w:id="26" w:name="_Hlk48638302"/>
      <w:r w:rsidRPr="004F036B">
        <w:rPr>
          <w:lang w:val="en-GB"/>
        </w:rPr>
        <w:t xml:space="preserve">the </w:t>
      </w:r>
      <w:r>
        <w:rPr>
          <w:lang w:val="en-GB"/>
        </w:rPr>
        <w:t xml:space="preserve">Eswatini </w:t>
      </w:r>
      <w:r w:rsidRPr="004F036B">
        <w:rPr>
          <w:lang w:val="en-GB"/>
        </w:rPr>
        <w:t xml:space="preserve">National Health Service Review Board in July 2014 (Reference Number: MH/599C/FWA 000 15267). The study was further </w:t>
      </w:r>
      <w:r w:rsidRPr="004F036B">
        <w:rPr>
          <w:lang w:val="en-GB"/>
        </w:rPr>
        <w:lastRenderedPageBreak/>
        <w:t>granted an exemption for non-human subjects research from the ethics review board of the Harvard T.H. Chan School of Public Health.</w:t>
      </w:r>
    </w:p>
    <w:bookmarkEnd w:id="26"/>
    <w:p w14:paraId="0812E20B" w14:textId="77777777" w:rsidR="000F25EF" w:rsidRPr="004F036B" w:rsidRDefault="000F25EF" w:rsidP="000F25EF">
      <w:pPr>
        <w:spacing w:line="480" w:lineRule="auto"/>
        <w:jc w:val="both"/>
        <w:rPr>
          <w:lang w:val="en-GB"/>
        </w:rPr>
      </w:pPr>
    </w:p>
    <w:p w14:paraId="57766349" w14:textId="77777777" w:rsidR="000F25EF" w:rsidRPr="004F036B" w:rsidRDefault="000F25EF" w:rsidP="000F25EF">
      <w:pPr>
        <w:pStyle w:val="Heading2"/>
        <w:spacing w:before="0" w:line="480" w:lineRule="auto"/>
        <w:rPr>
          <w:rFonts w:ascii="Times New Roman" w:hAnsi="Times New Roman" w:cs="Times New Roman"/>
          <w:b/>
          <w:color w:val="auto"/>
          <w:sz w:val="24"/>
          <w:szCs w:val="24"/>
          <w:lang w:val="en-GB"/>
        </w:rPr>
      </w:pPr>
      <w:r w:rsidRPr="004F036B">
        <w:rPr>
          <w:rFonts w:ascii="Times New Roman" w:hAnsi="Times New Roman" w:cs="Times New Roman"/>
          <w:b/>
          <w:color w:val="auto"/>
          <w:sz w:val="24"/>
          <w:szCs w:val="24"/>
          <w:lang w:val="en-GB"/>
        </w:rPr>
        <w:t>Data analysis</w:t>
      </w:r>
    </w:p>
    <w:p w14:paraId="73CBD68F" w14:textId="77777777" w:rsidR="000F25EF" w:rsidRPr="004F036B" w:rsidRDefault="000F25EF" w:rsidP="000F25EF">
      <w:pPr>
        <w:spacing w:line="480" w:lineRule="auto"/>
        <w:jc w:val="both"/>
        <w:rPr>
          <w:lang w:val="en-GB"/>
        </w:rPr>
      </w:pPr>
      <w:r w:rsidRPr="004F036B">
        <w:rPr>
          <w:lang w:val="en-GB"/>
        </w:rPr>
        <w:t>We estimated the intent-to-treat effect (ITT) by comparing patients interviewed in the standard</w:t>
      </w:r>
      <w:r>
        <w:rPr>
          <w:lang w:val="en-GB"/>
        </w:rPr>
        <w:t xml:space="preserve"> </w:t>
      </w:r>
      <w:r w:rsidRPr="004F036B">
        <w:rPr>
          <w:lang w:val="en-GB"/>
        </w:rPr>
        <w:t>of</w:t>
      </w:r>
      <w:r>
        <w:rPr>
          <w:lang w:val="en-GB"/>
        </w:rPr>
        <w:t xml:space="preserve"> </w:t>
      </w:r>
      <w:r w:rsidRPr="004F036B">
        <w:rPr>
          <w:lang w:val="en-GB"/>
        </w:rPr>
        <w:t xml:space="preserve">care phase to patients interviewed in the EAAA phase (see </w:t>
      </w:r>
      <w:r>
        <w:rPr>
          <w:lang w:val="en-GB"/>
        </w:rPr>
        <w:t>EXHIBIT 2</w:t>
      </w:r>
      <w:r w:rsidRPr="004F036B">
        <w:rPr>
          <w:lang w:val="en-GB"/>
        </w:rPr>
        <w:t xml:space="preserve">). We used mixed-effects negative binomial regressions </w:t>
      </w:r>
      <w:r>
        <w:rPr>
          <w:lang w:val="en-GB"/>
        </w:rPr>
        <w:t>(showing the</w:t>
      </w:r>
      <w:r w:rsidRPr="004F036B">
        <w:rPr>
          <w:lang w:val="en-GB"/>
        </w:rPr>
        <w:t xml:space="preserve"> resulting risk ratios</w:t>
      </w:r>
      <w:r>
        <w:rPr>
          <w:lang w:val="en-GB"/>
        </w:rPr>
        <w:t>)</w:t>
      </w:r>
      <w:r w:rsidRPr="004F036B">
        <w:rPr>
          <w:lang w:val="en-GB"/>
        </w:rPr>
        <w:t xml:space="preserve"> to account for the skewed distribution of some outcome variables (income-generating time</w:t>
      </w:r>
      <w:r>
        <w:rPr>
          <w:lang w:val="en-GB"/>
        </w:rPr>
        <w:t xml:space="preserve"> and</w:t>
      </w:r>
      <w:r w:rsidRPr="004F036B">
        <w:rPr>
          <w:lang w:val="en-GB"/>
        </w:rPr>
        <w:t xml:space="preserve"> household expenditures). For normally distributed outcome variables (non-resting time and living standards), we additionally provide results from mixed-effects linear regressions in supplementary tables.  For the binary employment outcome, we also estimated risk ratios for ease of interpretation by utilising a modified </w:t>
      </w:r>
      <w:proofErr w:type="spellStart"/>
      <w:r w:rsidRPr="004F036B">
        <w:rPr>
          <w:lang w:val="en-GB"/>
        </w:rPr>
        <w:t>poisson</w:t>
      </w:r>
      <w:proofErr w:type="spellEnd"/>
      <w:r w:rsidRPr="004F036B">
        <w:rPr>
          <w:lang w:val="en-GB"/>
        </w:rPr>
        <w:t xml:space="preserve"> regression model with a robust error </w:t>
      </w:r>
      <w:r>
        <w:rPr>
          <w:lang w:val="en-GB"/>
        </w:rPr>
        <w:t>structure</w:t>
      </w:r>
      <w:r w:rsidRPr="004F036B">
        <w:rPr>
          <w:lang w:val="en-GB"/>
        </w:rPr>
        <w:t>.</w:t>
      </w:r>
    </w:p>
    <w:p w14:paraId="6DF3337E" w14:textId="77777777" w:rsidR="000F25EF" w:rsidRPr="004F036B" w:rsidRDefault="000F25EF" w:rsidP="000F25EF">
      <w:pPr>
        <w:spacing w:line="480" w:lineRule="auto"/>
        <w:jc w:val="both"/>
        <w:rPr>
          <w:lang w:val="en-GB"/>
        </w:rPr>
      </w:pPr>
    </w:p>
    <w:p w14:paraId="260B593E" w14:textId="5295A600" w:rsidR="000F25EF" w:rsidRDefault="000F25EF" w:rsidP="000F25EF">
      <w:pPr>
        <w:spacing w:line="480" w:lineRule="auto"/>
        <w:jc w:val="both"/>
        <w:rPr>
          <w:lang w:val="en-GB"/>
        </w:rPr>
      </w:pPr>
      <w:r w:rsidRPr="004F036B">
        <w:rPr>
          <w:lang w:val="en-GB"/>
        </w:rPr>
        <w:t>Following the conventional Hussey and Hughes approach, regression models included a binary indicator (“fixed effect”) for each time period and a clinic-level random effect to account for clustering by clinic.</w:t>
      </w:r>
      <w:bookmarkStart w:id="27" w:name="_Hlk47965252"/>
      <w:r w:rsidR="00474280" w:rsidRPr="00474280">
        <w:rPr>
          <w:vertAlign w:val="superscript"/>
        </w:rPr>
        <w:t>38</w:t>
      </w:r>
      <w:r w:rsidRPr="004F036B">
        <w:rPr>
          <w:lang w:val="en-GB"/>
        </w:rPr>
        <w:t xml:space="preserve"> </w:t>
      </w:r>
      <w:r>
        <w:rPr>
          <w:lang w:val="en-GB"/>
        </w:rPr>
        <w:t>While clinic-level random effects help to partly adjust for varying cluster size by assigning higher weights to larger clusters, we additionally included a permutation test to project more conservative p-values that correct for (</w:t>
      </w:r>
      <w:proofErr w:type="spellStart"/>
      <w:r>
        <w:rPr>
          <w:lang w:val="en-GB"/>
        </w:rPr>
        <w:t>i</w:t>
      </w:r>
      <w:proofErr w:type="spellEnd"/>
      <w:r>
        <w:rPr>
          <w:lang w:val="en-GB"/>
        </w:rPr>
        <w:t>)</w:t>
      </w:r>
      <w:r>
        <w:t xml:space="preserve"> the varying cluster sizes, (ii) </w:t>
      </w:r>
      <w:r w:rsidRPr="004F036B">
        <w:t>the relatively small number of clusters</w:t>
      </w:r>
      <w:r>
        <w:t xml:space="preserve">, and (iii) </w:t>
      </w:r>
      <w:r w:rsidRPr="004F036B">
        <w:t>potential violations in asymptotic properties</w:t>
      </w:r>
      <w:r>
        <w:t xml:space="preserve"> of the regression models</w:t>
      </w:r>
      <w:r w:rsidRPr="004F036B">
        <w:t>.</w:t>
      </w:r>
      <w:r w:rsidRPr="004F036B">
        <w:fldChar w:fldCharType="begin"/>
      </w:r>
      <w:r w:rsidRPr="004F036B">
        <w:fldChar w:fldCharType="separate"/>
      </w:r>
      <w:r w:rsidR="00474280" w:rsidRPr="00474280">
        <w:rPr>
          <w:vertAlign w:val="superscript"/>
        </w:rPr>
        <w:t>39</w:t>
      </w:r>
      <w:r w:rsidRPr="004F036B">
        <w:fldChar w:fldCharType="end"/>
      </w:r>
      <w:bookmarkEnd w:id="27"/>
      <w:r w:rsidRPr="004F036B">
        <w:t xml:space="preserve"> </w:t>
      </w:r>
      <w:r>
        <w:t>Specifically, f</w:t>
      </w:r>
      <w:r w:rsidRPr="004F036B">
        <w:rPr>
          <w:lang w:val="en-GB"/>
        </w:rPr>
        <w:t xml:space="preserve">or each of the main outcome models (Hussey and Hughes model with control variables), we </w:t>
      </w:r>
      <w:r w:rsidRPr="004F036B">
        <w:t>used a permutation test (implemented in the “</w:t>
      </w:r>
      <w:proofErr w:type="spellStart"/>
      <w:r w:rsidRPr="004F036B">
        <w:t>swpermute</w:t>
      </w:r>
      <w:proofErr w:type="spellEnd"/>
      <w:r w:rsidRPr="004F036B">
        <w:t>” package in Stata</w:t>
      </w:r>
      <w:r w:rsidR="00474280" w:rsidRPr="00474280">
        <w:rPr>
          <w:vertAlign w:val="superscript"/>
        </w:rPr>
        <w:t>40</w:t>
      </w:r>
      <w:r w:rsidRPr="004F036B">
        <w:t xml:space="preserve">) with 1000 repetitions to test for the statistical significance of the treatment effect point estimates. </w:t>
      </w:r>
      <w:r>
        <w:rPr>
          <w:lang w:val="en-GB"/>
        </w:rPr>
        <w:t>In supplemental results, we present a second, more flexible,  model that allows for potentially heterogeneous time trends across healthcare facilities by including a random slope for time period.</w:t>
      </w:r>
      <w:r w:rsidR="00474280" w:rsidRPr="00474280">
        <w:rPr>
          <w:vertAlign w:val="superscript"/>
        </w:rPr>
        <w:t>41</w:t>
      </w:r>
      <w:r>
        <w:rPr>
          <w:lang w:val="en-GB"/>
        </w:rPr>
        <w:t xml:space="preserve"> Each of the two models was </w:t>
      </w:r>
      <w:r>
        <w:rPr>
          <w:color w:val="000000" w:themeColor="text1"/>
          <w:lang w:val="en-GB"/>
        </w:rPr>
        <w:t>estimated without and with</w:t>
      </w:r>
      <w:r>
        <w:rPr>
          <w:lang w:val="en-GB"/>
        </w:rPr>
        <w:t xml:space="preserve"> control variables, consisting of patients’ age (continuous), sex (binary), marital status (binary), and their level of education (continuous, specifying the highest grade completed). While adjustment for these variables is not needed to obtain unbiased effect estimates, their inclusion in the regressions might correct for small sample biases and improve precision.</w:t>
      </w:r>
    </w:p>
    <w:p w14:paraId="1C6B6BBA" w14:textId="77777777" w:rsidR="000F25EF" w:rsidRPr="004F036B" w:rsidRDefault="000F25EF" w:rsidP="000F25EF">
      <w:pPr>
        <w:spacing w:line="480" w:lineRule="auto"/>
        <w:jc w:val="both"/>
      </w:pPr>
    </w:p>
    <w:p w14:paraId="03D00B82" w14:textId="1B8AEC39" w:rsidR="00474280" w:rsidRDefault="000F25EF" w:rsidP="00474280">
      <w:pPr>
        <w:spacing w:line="480" w:lineRule="auto"/>
        <w:jc w:val="both"/>
      </w:pPr>
      <w:r w:rsidRPr="004F036B">
        <w:t xml:space="preserve">180 participants (12% of the </w:t>
      </w:r>
      <w:r>
        <w:t>complete random sub</w:t>
      </w:r>
      <w:r w:rsidRPr="004F036B">
        <w:t xml:space="preserve">sample) did not respond to the household expenditure questions. </w:t>
      </w:r>
      <w:r>
        <w:t>For this outcome, w</w:t>
      </w:r>
      <w:r w:rsidRPr="004F036B">
        <w:t xml:space="preserve">e therefore ran two regression specifications, one based on the incomplete sample (i.e., a complete case analysis) and one based on a </w:t>
      </w:r>
      <w:r>
        <w:t>complete</w:t>
      </w:r>
      <w:r w:rsidRPr="004F036B">
        <w:t xml:space="preserve"> sample after imputing missing observations using multivariate imputation by chained equations (MICE).</w:t>
      </w:r>
      <w:r w:rsidR="00474280" w:rsidRPr="00474280">
        <w:rPr>
          <w:vertAlign w:val="superscript"/>
        </w:rPr>
        <w:t>42</w:t>
      </w:r>
      <w:r w:rsidRPr="004F036B">
        <w:t xml:space="preserve"> </w:t>
      </w:r>
      <w:r w:rsidR="00474280" w:rsidRPr="004F036B">
        <w:t xml:space="preserve">The imputation model was implemented using the </w:t>
      </w:r>
      <w:r w:rsidR="00474280" w:rsidRPr="004F036B">
        <w:rPr>
          <w:i/>
        </w:rPr>
        <w:t>“mice”</w:t>
      </w:r>
      <w:r w:rsidR="00474280" w:rsidRPr="004F036B">
        <w:t xml:space="preserve"> package in Stata</w:t>
      </w:r>
      <w:r w:rsidR="00474280">
        <w:t>.</w:t>
      </w:r>
      <w:r w:rsidR="00474280" w:rsidRPr="00474280">
        <w:rPr>
          <w:vertAlign w:val="superscript"/>
        </w:rPr>
        <w:t>43</w:t>
      </w:r>
      <w:r w:rsidR="00474280" w:rsidRPr="004F036B">
        <w:t xml:space="preserve"> </w:t>
      </w:r>
      <w:r w:rsidR="00474280">
        <w:t xml:space="preserve">We implemented the imputation with </w:t>
      </w:r>
      <w:r w:rsidR="00474280" w:rsidRPr="004F036B">
        <w:t>1000 repetitions and include</w:t>
      </w:r>
      <w:r w:rsidR="00474280">
        <w:t>d</w:t>
      </w:r>
      <w:r w:rsidR="00474280" w:rsidRPr="004F036B">
        <w:t xml:space="preserve"> all variables used in the main outcome analysis as well as additional ‘auxiliary’ variables, which were current employment, education level, household living standards, and patients’ sociodemographic characteristics. Assuming that the likelihood of a missing value is only a function of observed characteristics, the MICE procedure iteratively estimates missing values based on Markov Chain Monte Carlo techniques. It creates 1000 complete datasets to estimate missing values, which are then averaged across all datasets.</w:t>
      </w:r>
      <w:r w:rsidR="00474280" w:rsidRPr="00474280">
        <w:rPr>
          <w:vertAlign w:val="superscript"/>
        </w:rPr>
        <w:t>44,45</w:t>
      </w:r>
    </w:p>
    <w:p w14:paraId="269ED357" w14:textId="77777777" w:rsidR="00DA07F0" w:rsidRPr="004F036B" w:rsidRDefault="00DA07F0" w:rsidP="000F25EF">
      <w:pPr>
        <w:spacing w:line="480" w:lineRule="auto"/>
        <w:jc w:val="both"/>
      </w:pPr>
    </w:p>
    <w:p w14:paraId="7F6FD0A0" w14:textId="149BCCD5" w:rsidR="00291A7E" w:rsidRDefault="000F25EF" w:rsidP="00291A7E">
      <w:pPr>
        <w:spacing w:line="480" w:lineRule="auto"/>
        <w:jc w:val="both"/>
        <w:rPr>
          <w:lang w:val="en-GB"/>
        </w:rPr>
      </w:pPr>
      <w:r w:rsidRPr="004F036B">
        <w:t xml:space="preserve">Lastly, we estimated for each of the five outcomes whether there was heterogeneity in treatment effects between different groups of patients. For this purpose, we </w:t>
      </w:r>
      <w:proofErr w:type="spellStart"/>
      <w:r w:rsidRPr="004F036B">
        <w:t>utilised</w:t>
      </w:r>
      <w:proofErr w:type="spellEnd"/>
      <w:r w:rsidRPr="004F036B">
        <w:t xml:space="preserve"> a machine learning approach in the form of a non-parametric causal forest algorithm.</w:t>
      </w:r>
      <w:r w:rsidR="00474280" w:rsidRPr="00474280">
        <w:rPr>
          <w:vertAlign w:val="superscript"/>
        </w:rPr>
        <w:t>46–48</w:t>
      </w:r>
      <w:r w:rsidRPr="004F036B">
        <w:t xml:space="preserve"> </w:t>
      </w:r>
      <w:r w:rsidR="00291A7E" w:rsidRPr="004F036B">
        <w:t xml:space="preserve">This approach has </w:t>
      </w:r>
      <w:r w:rsidR="00291A7E" w:rsidRPr="004F036B">
        <w:lastRenderedPageBreak/>
        <w:t>advantages over other subgroup tests</w:t>
      </w:r>
      <w:r w:rsidR="00291A7E" w:rsidRPr="00291A7E">
        <w:rPr>
          <w:vertAlign w:val="superscript"/>
        </w:rPr>
        <w:t>49,50</w:t>
      </w:r>
      <w:r w:rsidR="00291A7E" w:rsidRPr="004F036B">
        <w:t xml:space="preserve"> in that it (</w:t>
      </w:r>
      <w:proofErr w:type="spellStart"/>
      <w:r w:rsidR="00291A7E" w:rsidRPr="004F036B">
        <w:t>i</w:t>
      </w:r>
      <w:proofErr w:type="spellEnd"/>
      <w:r w:rsidR="00291A7E" w:rsidRPr="004F036B">
        <w:t>) does not require an a priori hypothesis on the potential differential effects, (ii) increases statistical power, (iii) and yields treatment effect estimates that are asymptotically normal.</w:t>
      </w:r>
      <w:r w:rsidR="00291A7E" w:rsidRPr="00291A7E">
        <w:rPr>
          <w:vertAlign w:val="superscript"/>
        </w:rPr>
        <w:t>47,48</w:t>
      </w:r>
      <w:r w:rsidR="00291A7E">
        <w:t xml:space="preserve"> </w:t>
      </w:r>
      <w:r w:rsidR="00291A7E">
        <w:rPr>
          <w:lang w:val="en-GB"/>
        </w:rPr>
        <w:t xml:space="preserve">In this analysis, we first  assess whether treatment effects for any subgroup are significantly different from the average treatment effect. In </w:t>
      </w:r>
      <w:r w:rsidR="00291A7E" w:rsidRPr="004F036B">
        <w:rPr>
          <w:lang w:val="en-GB"/>
        </w:rPr>
        <w:t>a second step, we explored the nature of potential heterogeneity through ordering moderating variables by their importance.</w:t>
      </w:r>
    </w:p>
    <w:p w14:paraId="762437CA" w14:textId="3E15A247" w:rsidR="000F25EF" w:rsidRPr="00291A7E" w:rsidRDefault="000F25EF" w:rsidP="000F25EF">
      <w:pPr>
        <w:spacing w:line="480" w:lineRule="auto"/>
        <w:jc w:val="both"/>
        <w:rPr>
          <w:lang w:val="en-GB"/>
        </w:rPr>
      </w:pPr>
    </w:p>
    <w:p w14:paraId="6DADB19D" w14:textId="77777777" w:rsidR="000F25EF" w:rsidRDefault="000F25EF" w:rsidP="000F25EF">
      <w:pPr>
        <w:spacing w:line="480" w:lineRule="auto"/>
        <w:jc w:val="both"/>
      </w:pPr>
      <w:r w:rsidRPr="004F036B">
        <w:t xml:space="preserve">The random forest heterogeneity analysis was implemented in R 3.6.2. All other analyses were conducted in Stata 15. </w:t>
      </w:r>
    </w:p>
    <w:p w14:paraId="3B83CADF" w14:textId="77777777" w:rsidR="000F25EF" w:rsidRPr="004F036B" w:rsidRDefault="000F25EF" w:rsidP="000F25EF">
      <w:pPr>
        <w:spacing w:line="480" w:lineRule="auto"/>
        <w:jc w:val="both"/>
      </w:pPr>
    </w:p>
    <w:p w14:paraId="47D690EF" w14:textId="60F0E6CD" w:rsidR="005F12E8" w:rsidRDefault="005F12E8">
      <w:pPr>
        <w:spacing w:after="160" w:line="259" w:lineRule="auto"/>
        <w:rPr>
          <w:b/>
        </w:rPr>
      </w:pPr>
      <w:r>
        <w:rPr>
          <w:b/>
        </w:rPr>
        <w:br w:type="page"/>
      </w:r>
    </w:p>
    <w:p w14:paraId="62B16880" w14:textId="5E682725" w:rsidR="00F461F2" w:rsidRPr="00F461F2" w:rsidRDefault="00941FD0" w:rsidP="00F461F2">
      <w:pPr>
        <w:spacing w:after="160" w:line="360" w:lineRule="auto"/>
        <w:jc w:val="both"/>
      </w:pPr>
      <w:r w:rsidRPr="00F461F2">
        <w:rPr>
          <w:b/>
        </w:rPr>
        <w:lastRenderedPageBreak/>
        <w:t>Competing Interests:</w:t>
      </w:r>
      <w:r w:rsidRPr="00F461F2">
        <w:t xml:space="preserve"> The authors declare no competing interests.</w:t>
      </w:r>
      <w:r w:rsidR="00F461F2" w:rsidRPr="00F461F2">
        <w:t xml:space="preserve"> The funder had no role in study design, data collection, data analysis, data interpretation, writing of the report or decision to publish. JS had full access to all the data in the study.</w:t>
      </w:r>
    </w:p>
    <w:p w14:paraId="5E7919B9" w14:textId="0466E9C2" w:rsidR="00941FD0" w:rsidRPr="00F461F2" w:rsidRDefault="00941FD0" w:rsidP="009B6A6A">
      <w:pPr>
        <w:spacing w:after="160" w:line="360" w:lineRule="auto"/>
        <w:jc w:val="both"/>
      </w:pPr>
    </w:p>
    <w:p w14:paraId="7B2259DE" w14:textId="77777777" w:rsidR="00DE14E6" w:rsidRPr="00DE14E6" w:rsidRDefault="00DE14E6" w:rsidP="009B6A6A">
      <w:pPr>
        <w:spacing w:after="160" w:line="360" w:lineRule="auto"/>
        <w:jc w:val="both"/>
        <w:rPr>
          <w:lang w:val="en-GB"/>
        </w:rPr>
      </w:pPr>
    </w:p>
    <w:p w14:paraId="27924969" w14:textId="77777777" w:rsidR="00941FD0" w:rsidRDefault="00941FD0" w:rsidP="009B6A6A">
      <w:pPr>
        <w:spacing w:after="160" w:line="360" w:lineRule="auto"/>
        <w:rPr>
          <w:lang w:val="en-GB"/>
        </w:rPr>
      </w:pPr>
      <w:r>
        <w:rPr>
          <w:lang w:val="en-GB"/>
        </w:rPr>
        <w:br w:type="page"/>
      </w:r>
    </w:p>
    <w:p w14:paraId="6C147F88" w14:textId="18FA2CCC" w:rsidR="00A950F0" w:rsidRPr="004F036B" w:rsidRDefault="007959CE" w:rsidP="009B6A6A">
      <w:pPr>
        <w:pStyle w:val="Heading1"/>
        <w:spacing w:line="360" w:lineRule="auto"/>
        <w:rPr>
          <w:rFonts w:ascii="Times New Roman" w:hAnsi="Times New Roman" w:cs="Times New Roman"/>
          <w:b/>
          <w:color w:val="000000"/>
          <w:sz w:val="24"/>
          <w:szCs w:val="24"/>
          <w:lang w:val="en-GB"/>
        </w:rPr>
      </w:pPr>
      <w:r w:rsidRPr="004F036B">
        <w:rPr>
          <w:rFonts w:ascii="Times New Roman" w:hAnsi="Times New Roman" w:cs="Times New Roman"/>
          <w:b/>
          <w:color w:val="000000"/>
          <w:sz w:val="24"/>
          <w:szCs w:val="24"/>
          <w:lang w:val="en-GB"/>
        </w:rPr>
        <w:lastRenderedPageBreak/>
        <w:t>References</w:t>
      </w:r>
    </w:p>
    <w:p w14:paraId="45C46B24" w14:textId="77777777" w:rsidR="007959CE" w:rsidRPr="004F036B" w:rsidRDefault="007959CE" w:rsidP="009B6A6A">
      <w:pPr>
        <w:spacing w:line="360" w:lineRule="auto"/>
        <w:rPr>
          <w:lang w:val="en-GB"/>
        </w:rPr>
      </w:pPr>
    </w:p>
    <w:p w14:paraId="666CC505" w14:textId="77777777" w:rsidR="00291A7E" w:rsidRPr="00291A7E" w:rsidRDefault="00291A7E" w:rsidP="00291A7E">
      <w:pPr>
        <w:pStyle w:val="Bibliography"/>
      </w:pPr>
      <w:r w:rsidRPr="00291A7E">
        <w:t xml:space="preserve">1. </w:t>
      </w:r>
      <w:r w:rsidRPr="00291A7E">
        <w:tab/>
        <w:t xml:space="preserve">The TEMPRANO ANRS 12136 Study Group. A Trial of Early Antiretrovirals and Isoniazid Preventive Therapy in Africa. </w:t>
      </w:r>
      <w:r w:rsidRPr="00291A7E">
        <w:rPr>
          <w:i/>
          <w:iCs/>
        </w:rPr>
        <w:t>N Engl J Med</w:t>
      </w:r>
      <w:r w:rsidRPr="00291A7E">
        <w:t>. 2015;373(9):808-822. doi:10.1056/NEJMoa1507198</w:t>
      </w:r>
    </w:p>
    <w:p w14:paraId="75CF463A" w14:textId="77777777" w:rsidR="00291A7E" w:rsidRPr="00291A7E" w:rsidRDefault="00291A7E" w:rsidP="00291A7E">
      <w:pPr>
        <w:pStyle w:val="Bibliography"/>
      </w:pPr>
      <w:r w:rsidRPr="00291A7E">
        <w:t xml:space="preserve">2. </w:t>
      </w:r>
      <w:r w:rsidRPr="00291A7E">
        <w:tab/>
        <w:t xml:space="preserve">Cohen MS, Chen YQ, McCauley M, et al. Antiretroviral Therapy for the Prevention of HIV-1 Transmission. </w:t>
      </w:r>
      <w:r w:rsidRPr="00291A7E">
        <w:rPr>
          <w:i/>
          <w:iCs/>
        </w:rPr>
        <w:t>N Engl J Med</w:t>
      </w:r>
      <w:r w:rsidRPr="00291A7E">
        <w:t>. 2016;375(9):830-839. doi:10.1056/NEJMoa1600693</w:t>
      </w:r>
    </w:p>
    <w:p w14:paraId="2BC6111D" w14:textId="77777777" w:rsidR="00291A7E" w:rsidRPr="00291A7E" w:rsidRDefault="00291A7E" w:rsidP="00291A7E">
      <w:pPr>
        <w:pStyle w:val="Bibliography"/>
      </w:pPr>
      <w:r w:rsidRPr="00291A7E">
        <w:t xml:space="preserve">3. </w:t>
      </w:r>
      <w:r w:rsidRPr="00291A7E">
        <w:tab/>
        <w:t xml:space="preserve">The INSIGHT START Study Group. Initiation of Antiretroviral Therapy in Early Asymptomatic HIV Infection. </w:t>
      </w:r>
      <w:r w:rsidRPr="00291A7E">
        <w:rPr>
          <w:i/>
          <w:iCs/>
        </w:rPr>
        <w:t>N Engl J Med</w:t>
      </w:r>
      <w:r w:rsidRPr="00291A7E">
        <w:t>. 2015;373(9):795-807. doi:10.1056/NEJMoa1506816</w:t>
      </w:r>
    </w:p>
    <w:p w14:paraId="688B4AB1" w14:textId="77777777" w:rsidR="00291A7E" w:rsidRPr="00291A7E" w:rsidRDefault="00291A7E" w:rsidP="00291A7E">
      <w:pPr>
        <w:pStyle w:val="Bibliography"/>
      </w:pPr>
      <w:r w:rsidRPr="00291A7E">
        <w:t xml:space="preserve">4. </w:t>
      </w:r>
      <w:r w:rsidRPr="00291A7E">
        <w:tab/>
        <w:t xml:space="preserve">Hayes RJ, Donnell D, Floyd S, et al. Effect of Universal Testing and Treatment on HIV Incidence — HPTN 071 (PopART). </w:t>
      </w:r>
      <w:r w:rsidRPr="00291A7E">
        <w:rPr>
          <w:i/>
          <w:iCs/>
        </w:rPr>
        <w:t xml:space="preserve">N Engl J </w:t>
      </w:r>
      <w:r w:rsidRPr="00291A7E">
        <w:rPr>
          <w:i/>
          <w:iCs/>
        </w:rPr>
        <w:lastRenderedPageBreak/>
        <w:t>Med</w:t>
      </w:r>
      <w:r w:rsidRPr="00291A7E">
        <w:t>. 2019;381(3):207-218. doi:10.1056/NEJMoa1814556</w:t>
      </w:r>
    </w:p>
    <w:p w14:paraId="42BD5B3E" w14:textId="77777777" w:rsidR="00291A7E" w:rsidRPr="00291A7E" w:rsidRDefault="00291A7E" w:rsidP="00291A7E">
      <w:pPr>
        <w:pStyle w:val="Bibliography"/>
      </w:pPr>
      <w:r w:rsidRPr="00291A7E">
        <w:t xml:space="preserve">5. </w:t>
      </w:r>
      <w:r w:rsidRPr="00291A7E">
        <w:tab/>
        <w:t xml:space="preserve">Ford N, Migone C, Calmy A, et al. Benefits and risks of rapid initiation of antiretroviral therapy. </w:t>
      </w:r>
      <w:r w:rsidRPr="00291A7E">
        <w:rPr>
          <w:i/>
          <w:iCs/>
        </w:rPr>
        <w:t>AIDS Lond Engl</w:t>
      </w:r>
      <w:r w:rsidRPr="00291A7E">
        <w:t>. 2018;32(1):17-23. doi:10.1097/QAD.0000000000001671</w:t>
      </w:r>
    </w:p>
    <w:p w14:paraId="7562256C" w14:textId="77777777" w:rsidR="00291A7E" w:rsidRPr="00291A7E" w:rsidRDefault="00291A7E" w:rsidP="00291A7E">
      <w:pPr>
        <w:pStyle w:val="Bibliography"/>
      </w:pPr>
      <w:r w:rsidRPr="00291A7E">
        <w:t xml:space="preserve">6. </w:t>
      </w:r>
      <w:r w:rsidRPr="00291A7E">
        <w:tab/>
        <w:t>WHO | Consolidated guidelines on the use of antiretroviral drugs for treating and preventing HIV infection. WHO. Accessed April 1, 2019. http://www.who.int/hiv/pub/arv/arv-2016/en/</w:t>
      </w:r>
    </w:p>
    <w:p w14:paraId="5142A083" w14:textId="77777777" w:rsidR="00291A7E" w:rsidRPr="00291A7E" w:rsidRDefault="00291A7E" w:rsidP="00291A7E">
      <w:pPr>
        <w:pStyle w:val="Bibliography"/>
      </w:pPr>
      <w:r w:rsidRPr="00291A7E">
        <w:t xml:space="preserve">7. </w:t>
      </w:r>
      <w:r w:rsidRPr="00291A7E">
        <w:tab/>
        <w:t xml:space="preserve">THIRUMURTHY H, CHAMIE G, JAIN V, et al. Improved employment and education outcomes in households of HIV-infected adults with high CD4 counts: evidence from a community health campaign in Uganda. </w:t>
      </w:r>
      <w:r w:rsidRPr="00291A7E">
        <w:rPr>
          <w:i/>
          <w:iCs/>
        </w:rPr>
        <w:t>AIDS Lond Engl</w:t>
      </w:r>
      <w:r w:rsidRPr="00291A7E">
        <w:t>. 2013;27(4). doi:10.1097/QAD.0b013e32835c54d8</w:t>
      </w:r>
    </w:p>
    <w:p w14:paraId="04149A3C" w14:textId="77777777" w:rsidR="00291A7E" w:rsidRPr="00291A7E" w:rsidRDefault="00291A7E" w:rsidP="00291A7E">
      <w:pPr>
        <w:pStyle w:val="Bibliography"/>
      </w:pPr>
      <w:r w:rsidRPr="00291A7E">
        <w:t xml:space="preserve">8. </w:t>
      </w:r>
      <w:r w:rsidRPr="00291A7E">
        <w:tab/>
        <w:t xml:space="preserve">DiBonaventura M daCosta, Gupta S, Cho M, Mrus J. The association of HIV/AIDS treatment side effects with health status, work productivity, and resource use. </w:t>
      </w:r>
      <w:r w:rsidRPr="00291A7E">
        <w:rPr>
          <w:i/>
          <w:iCs/>
        </w:rPr>
        <w:t>AIDS Care</w:t>
      </w:r>
      <w:r w:rsidRPr="00291A7E">
        <w:t>. 2012;24(6):744-755. doi:10.1080/09540121.2011.630363</w:t>
      </w:r>
    </w:p>
    <w:p w14:paraId="256D9EB4" w14:textId="77777777" w:rsidR="00291A7E" w:rsidRPr="00291A7E" w:rsidRDefault="00291A7E" w:rsidP="00291A7E">
      <w:pPr>
        <w:pStyle w:val="Bibliography"/>
      </w:pPr>
      <w:r w:rsidRPr="00291A7E">
        <w:t xml:space="preserve">9. </w:t>
      </w:r>
      <w:r w:rsidRPr="00291A7E">
        <w:tab/>
        <w:t xml:space="preserve">Unge C, Johansson A, Zachariah R, Some D, Engelgem IV, Ekstrom AM. Reasons for unsatisfactory acceptance of antiretroviral treatment in the urban Kibera slum, Kenya. </w:t>
      </w:r>
      <w:r w:rsidRPr="00291A7E">
        <w:rPr>
          <w:i/>
          <w:iCs/>
        </w:rPr>
        <w:t>AIDS Care</w:t>
      </w:r>
      <w:r w:rsidRPr="00291A7E">
        <w:t>. 2008;20(2):146-149. doi:10.1080/09540120701513677</w:t>
      </w:r>
    </w:p>
    <w:p w14:paraId="796E2DFD" w14:textId="77777777" w:rsidR="00291A7E" w:rsidRPr="00291A7E" w:rsidRDefault="00291A7E" w:rsidP="00291A7E">
      <w:pPr>
        <w:pStyle w:val="Bibliography"/>
      </w:pPr>
      <w:r w:rsidRPr="00291A7E">
        <w:t xml:space="preserve">10. </w:t>
      </w:r>
      <w:r w:rsidRPr="00291A7E">
        <w:tab/>
        <w:t xml:space="preserve">Bor J, Tanser F, Newell M-L, Bärnighausen T. Nearly Full Employment Recovery Among South African HIV Patients On Antiretroviral Therapy: Evidence From A Large Population Cohort. </w:t>
      </w:r>
      <w:r w:rsidRPr="00291A7E">
        <w:rPr>
          <w:i/>
          <w:iCs/>
        </w:rPr>
        <w:t>Health Aff Proj Hope</w:t>
      </w:r>
      <w:r w:rsidRPr="00291A7E">
        <w:t>. 2012;31(7). doi:10.1377/hlthaff.2012.0407</w:t>
      </w:r>
    </w:p>
    <w:p w14:paraId="12E73182" w14:textId="77777777" w:rsidR="00291A7E" w:rsidRPr="00291A7E" w:rsidRDefault="00291A7E" w:rsidP="00291A7E">
      <w:pPr>
        <w:pStyle w:val="Bibliography"/>
      </w:pPr>
      <w:r w:rsidRPr="00291A7E">
        <w:t xml:space="preserve">11. </w:t>
      </w:r>
      <w:r w:rsidRPr="00291A7E">
        <w:tab/>
        <w:t xml:space="preserve">Larson BA, Fox MP, Rosen S, et al. Early effects of antiretroviral therapy on work performance: preliminary results from a cohort study of Kenyan agricultural workers. </w:t>
      </w:r>
      <w:r w:rsidRPr="00291A7E">
        <w:rPr>
          <w:i/>
          <w:iCs/>
        </w:rPr>
        <w:t>AIDS Lond Engl</w:t>
      </w:r>
      <w:r w:rsidRPr="00291A7E">
        <w:t>. 2008;22(3):421-425. doi:10.1097/QAD.0b013e3282f3cc0c</w:t>
      </w:r>
    </w:p>
    <w:p w14:paraId="4A62FF99" w14:textId="77777777" w:rsidR="00291A7E" w:rsidRPr="00291A7E" w:rsidRDefault="00291A7E" w:rsidP="00291A7E">
      <w:pPr>
        <w:pStyle w:val="Bibliography"/>
      </w:pPr>
      <w:r w:rsidRPr="00291A7E">
        <w:t xml:space="preserve">12. </w:t>
      </w:r>
      <w:r w:rsidRPr="00291A7E">
        <w:tab/>
        <w:t xml:space="preserve">Beard J, Feeley F, Rosen S. Economic and quality of life outcomes of antiretroviral therapy for HIV/AIDS in developing countries: a systematic literature review. </w:t>
      </w:r>
      <w:r w:rsidRPr="00291A7E">
        <w:rPr>
          <w:i/>
          <w:iCs/>
        </w:rPr>
        <w:t>AIDS Care</w:t>
      </w:r>
      <w:r w:rsidRPr="00291A7E">
        <w:t>. 2009;21(11):1343-1356. doi:10.1080/09540120902889926</w:t>
      </w:r>
    </w:p>
    <w:p w14:paraId="52F47356" w14:textId="77777777" w:rsidR="00291A7E" w:rsidRPr="00291A7E" w:rsidRDefault="00291A7E" w:rsidP="00291A7E">
      <w:pPr>
        <w:pStyle w:val="Bibliography"/>
      </w:pPr>
      <w:r w:rsidRPr="00291A7E">
        <w:t xml:space="preserve">13. </w:t>
      </w:r>
      <w:r w:rsidRPr="00291A7E">
        <w:tab/>
        <w:t xml:space="preserve">Thirumurthy H, Zivin JG, Goldstein M. The Economic Impact of AIDS Treatment Labor Supply in Western Kenya. </w:t>
      </w:r>
      <w:r w:rsidRPr="00291A7E">
        <w:rPr>
          <w:i/>
          <w:iCs/>
        </w:rPr>
        <w:t>J Hum Resour</w:t>
      </w:r>
      <w:r w:rsidRPr="00291A7E">
        <w:t>. 2008;43(3):511-552. doi:10.3368/jhr.43.3.511</w:t>
      </w:r>
    </w:p>
    <w:p w14:paraId="06F99385" w14:textId="77777777" w:rsidR="00291A7E" w:rsidRPr="00291A7E" w:rsidRDefault="00291A7E" w:rsidP="00291A7E">
      <w:pPr>
        <w:pStyle w:val="Bibliography"/>
        <w:rPr>
          <w:lang w:val="de-DE"/>
        </w:rPr>
      </w:pPr>
      <w:r w:rsidRPr="00291A7E">
        <w:lastRenderedPageBreak/>
        <w:t xml:space="preserve">14. </w:t>
      </w:r>
      <w:r w:rsidRPr="00291A7E">
        <w:tab/>
        <w:t xml:space="preserve">Habyarimana J, Mbakile B, Pop-Eleches C. The impact of HIV/AIDS and ARV treatment on worker absenteeism: Implications for African firms. </w:t>
      </w:r>
      <w:r w:rsidRPr="00291A7E">
        <w:rPr>
          <w:i/>
          <w:iCs/>
          <w:lang w:val="de-DE"/>
        </w:rPr>
        <w:t>J Hum Resour</w:t>
      </w:r>
      <w:r w:rsidRPr="00291A7E">
        <w:rPr>
          <w:lang w:val="de-DE"/>
        </w:rPr>
        <w:t>. 2010;45(4):809-839. doi:10.3368/jhr.45.4.809</w:t>
      </w:r>
    </w:p>
    <w:p w14:paraId="2F9D10A9" w14:textId="77777777" w:rsidR="00291A7E" w:rsidRPr="00291A7E" w:rsidRDefault="00291A7E" w:rsidP="00291A7E">
      <w:pPr>
        <w:pStyle w:val="Bibliography"/>
      </w:pPr>
      <w:r w:rsidRPr="00291A7E">
        <w:rPr>
          <w:lang w:val="de-DE"/>
        </w:rPr>
        <w:t xml:space="preserve">15. </w:t>
      </w:r>
      <w:r w:rsidRPr="00291A7E">
        <w:rPr>
          <w:lang w:val="de-DE"/>
        </w:rPr>
        <w:tab/>
        <w:t xml:space="preserve">Baranov V, Kohler H-P. </w:t>
      </w:r>
      <w:r w:rsidRPr="00291A7E">
        <w:t xml:space="preserve">The Impact of AIDS Treatment on Savings and Human Capital Investment in Malawi. </w:t>
      </w:r>
      <w:r w:rsidRPr="00291A7E">
        <w:rPr>
          <w:i/>
          <w:iCs/>
        </w:rPr>
        <w:t>Am Econ J Appl Econ</w:t>
      </w:r>
      <w:r w:rsidRPr="00291A7E">
        <w:t>. 2018;10(1):266-306. doi:10.1257/app.20150369</w:t>
      </w:r>
    </w:p>
    <w:p w14:paraId="3794F7D7" w14:textId="77777777" w:rsidR="00291A7E" w:rsidRPr="00291A7E" w:rsidRDefault="00291A7E" w:rsidP="00291A7E">
      <w:pPr>
        <w:pStyle w:val="Bibliography"/>
      </w:pPr>
      <w:r w:rsidRPr="00291A7E">
        <w:t xml:space="preserve">16. </w:t>
      </w:r>
      <w:r w:rsidRPr="00291A7E">
        <w:tab/>
        <w:t xml:space="preserve">Lucas AM, Chidothe M, Wilson NL. Effects of adult health interventions at scale on children’s schooling: Evidence from antiretroviral therapy in Zambia. </w:t>
      </w:r>
      <w:r w:rsidRPr="00291A7E">
        <w:rPr>
          <w:i/>
          <w:iCs/>
        </w:rPr>
        <w:t>Econ Educ Rev</w:t>
      </w:r>
      <w:r w:rsidRPr="00291A7E">
        <w:t>. 2019;72:107-120. doi:10.1016/j.econedurev.2019.04.006</w:t>
      </w:r>
    </w:p>
    <w:p w14:paraId="68F4C1C7" w14:textId="77777777" w:rsidR="00291A7E" w:rsidRPr="00291A7E" w:rsidRDefault="00291A7E" w:rsidP="00291A7E">
      <w:pPr>
        <w:pStyle w:val="Bibliography"/>
      </w:pPr>
      <w:r w:rsidRPr="00291A7E">
        <w:t xml:space="preserve">17. </w:t>
      </w:r>
      <w:r w:rsidRPr="00291A7E">
        <w:tab/>
        <w:t xml:space="preserve">Rosen S, Ketlhapile M, Sanne I, DeSilva MB. Cost to patients of obtaining treatment for HIV/AIDS in South Africa. </w:t>
      </w:r>
      <w:r w:rsidRPr="00291A7E">
        <w:rPr>
          <w:i/>
          <w:iCs/>
        </w:rPr>
        <w:t>South Afr Med J Suid-Afr Tydskr Vir Geneeskd</w:t>
      </w:r>
      <w:r w:rsidRPr="00291A7E">
        <w:t>. 2007;97(7):524-529.</w:t>
      </w:r>
    </w:p>
    <w:p w14:paraId="10BAE4DC" w14:textId="77777777" w:rsidR="00291A7E" w:rsidRPr="00291A7E" w:rsidRDefault="00291A7E" w:rsidP="00291A7E">
      <w:pPr>
        <w:pStyle w:val="Bibliography"/>
      </w:pPr>
      <w:r w:rsidRPr="00291A7E">
        <w:t xml:space="preserve">18. </w:t>
      </w:r>
      <w:r w:rsidRPr="00291A7E">
        <w:tab/>
        <w:t xml:space="preserve">Chimbindi N, Bor J, Newell M-L, et al. Time and money: the true costs of health care utilization for patients receiving ‘free’ HIV/TB care and treatment in rural KwaZulu-Natal. </w:t>
      </w:r>
      <w:r w:rsidRPr="00291A7E">
        <w:rPr>
          <w:i/>
          <w:iCs/>
        </w:rPr>
        <w:t>J Acquir Immune Defic Syndr 1999</w:t>
      </w:r>
      <w:r w:rsidRPr="00291A7E">
        <w:t>. 2015;70(2):e52-e60. doi:10.1097/QAI.0000000000000728</w:t>
      </w:r>
    </w:p>
    <w:p w14:paraId="6CEA7F2C" w14:textId="77777777" w:rsidR="00291A7E" w:rsidRPr="00291A7E" w:rsidRDefault="00291A7E" w:rsidP="00291A7E">
      <w:pPr>
        <w:pStyle w:val="Bibliography"/>
      </w:pPr>
      <w:r w:rsidRPr="00291A7E">
        <w:t xml:space="preserve">19. </w:t>
      </w:r>
      <w:r w:rsidRPr="00291A7E">
        <w:tab/>
        <w:t xml:space="preserve">Leive A, Xu K. Coping with out-of-pocket health payments: empirical evidence from 15 African countries. </w:t>
      </w:r>
      <w:r w:rsidRPr="00291A7E">
        <w:rPr>
          <w:i/>
          <w:iCs/>
        </w:rPr>
        <w:t>Bull World Health Organ</w:t>
      </w:r>
      <w:r w:rsidRPr="00291A7E">
        <w:t>. 2008;86(11):849-856. doi:10.2471/BLT.07.049403</w:t>
      </w:r>
    </w:p>
    <w:p w14:paraId="7B1D9E1C" w14:textId="77777777" w:rsidR="00291A7E" w:rsidRPr="00291A7E" w:rsidRDefault="00291A7E" w:rsidP="00291A7E">
      <w:pPr>
        <w:pStyle w:val="Bibliography"/>
      </w:pPr>
      <w:r w:rsidRPr="00291A7E">
        <w:t xml:space="preserve">20. </w:t>
      </w:r>
      <w:r w:rsidRPr="00291A7E">
        <w:tab/>
        <w:t xml:space="preserve">Patenaude BN, Chimbindi N, Pillay D, Bärnighausen T. The impact of ART initiation on household food security over time. </w:t>
      </w:r>
      <w:r w:rsidRPr="00291A7E">
        <w:rPr>
          <w:i/>
          <w:iCs/>
        </w:rPr>
        <w:t>Soc Sci Med 1982</w:t>
      </w:r>
      <w:r w:rsidRPr="00291A7E">
        <w:t>. 2018;198:175-184. doi:10.1016/j.socscimed.2017.11.036</w:t>
      </w:r>
    </w:p>
    <w:p w14:paraId="3A47A45D" w14:textId="77777777" w:rsidR="00291A7E" w:rsidRPr="00291A7E" w:rsidRDefault="00291A7E" w:rsidP="00291A7E">
      <w:pPr>
        <w:pStyle w:val="Bibliography"/>
      </w:pPr>
      <w:r w:rsidRPr="00291A7E">
        <w:t xml:space="preserve">21. </w:t>
      </w:r>
      <w:r w:rsidRPr="00291A7E">
        <w:tab/>
        <w:t>The World Bank. Eswatini Household Income and Expenditure Survey- 2016/17 Final Report. Published online 2019.</w:t>
      </w:r>
    </w:p>
    <w:p w14:paraId="697957ED" w14:textId="77777777" w:rsidR="00291A7E" w:rsidRPr="00291A7E" w:rsidRDefault="00291A7E" w:rsidP="00291A7E">
      <w:pPr>
        <w:pStyle w:val="Bibliography"/>
      </w:pPr>
      <w:r w:rsidRPr="00291A7E">
        <w:t xml:space="preserve">22. </w:t>
      </w:r>
      <w:r w:rsidRPr="00291A7E">
        <w:tab/>
        <w:t xml:space="preserve">Chao A, Spiegelman D, Khan S, et al. Mortality under early access to antiretroviral therapy vs. Eswatini’s national standard of care: the MaxART clustered randomized stepped-wedge trial. </w:t>
      </w:r>
      <w:r w:rsidRPr="00291A7E">
        <w:rPr>
          <w:i/>
          <w:iCs/>
        </w:rPr>
        <w:t>HIV Med</w:t>
      </w:r>
      <w:r w:rsidRPr="00291A7E">
        <w:t>. 2020;21(7):429-440. doi:10.1111/hiv.12876</w:t>
      </w:r>
    </w:p>
    <w:p w14:paraId="6F2F1EA0" w14:textId="77777777" w:rsidR="00291A7E" w:rsidRPr="00291A7E" w:rsidRDefault="00291A7E" w:rsidP="00291A7E">
      <w:pPr>
        <w:pStyle w:val="Bibliography"/>
      </w:pPr>
      <w:r w:rsidRPr="00291A7E">
        <w:t xml:space="preserve">23. </w:t>
      </w:r>
      <w:r w:rsidRPr="00291A7E">
        <w:tab/>
        <w:t xml:space="preserve">Perriat D, Balzer L, Hayes R, et al. Comparative assessment of five trials of universal HIV testing and treatment in sub-Saharan Africa. </w:t>
      </w:r>
      <w:r w:rsidRPr="00291A7E">
        <w:rPr>
          <w:i/>
          <w:iCs/>
        </w:rPr>
        <w:t>J Int AIDS Soc</w:t>
      </w:r>
      <w:r w:rsidRPr="00291A7E">
        <w:t>. 2018;21(1). doi:10.1002/jia2.25048</w:t>
      </w:r>
    </w:p>
    <w:p w14:paraId="7DB6BFCE" w14:textId="77777777" w:rsidR="00291A7E" w:rsidRPr="00291A7E" w:rsidRDefault="00291A7E" w:rsidP="00291A7E">
      <w:pPr>
        <w:pStyle w:val="Bibliography"/>
      </w:pPr>
      <w:r w:rsidRPr="00291A7E">
        <w:t xml:space="preserve">24. </w:t>
      </w:r>
      <w:r w:rsidRPr="00291A7E">
        <w:tab/>
        <w:t xml:space="preserve">May MT, Vehreschild J-J, Trickey A, et al. Mortality According to CD4 Count at Start of Combination Antiretroviral Therapy Among HIV-infected Patients Followed for up to 15 Years After Start of Treatment: Collaborative Cohort Study. </w:t>
      </w:r>
      <w:r w:rsidRPr="00291A7E">
        <w:rPr>
          <w:i/>
          <w:iCs/>
        </w:rPr>
        <w:t>Clin Infect Dis</w:t>
      </w:r>
      <w:r w:rsidRPr="00291A7E">
        <w:t>. 2016;62(12):1571-1577. doi:10.1093/cid/ciw183</w:t>
      </w:r>
    </w:p>
    <w:p w14:paraId="66E94063" w14:textId="77777777" w:rsidR="00291A7E" w:rsidRPr="00291A7E" w:rsidRDefault="00291A7E" w:rsidP="00291A7E">
      <w:pPr>
        <w:pStyle w:val="Bibliography"/>
      </w:pPr>
      <w:r w:rsidRPr="00291A7E">
        <w:t xml:space="preserve">25. </w:t>
      </w:r>
      <w:r w:rsidRPr="00291A7E">
        <w:tab/>
        <w:t xml:space="preserve">Nansseu JRN, Bigna JJR. Antiretroviral therapy related adverse effects: Can sub-Saharan Africa cope with the new “test and treat” policy of the World Health Organization? </w:t>
      </w:r>
      <w:r w:rsidRPr="00291A7E">
        <w:rPr>
          <w:i/>
          <w:iCs/>
        </w:rPr>
        <w:t>Infect Dis Poverty</w:t>
      </w:r>
      <w:r w:rsidRPr="00291A7E">
        <w:t>. 2017;6(1):24. doi:10.1186/s40249-017-0240-3</w:t>
      </w:r>
    </w:p>
    <w:p w14:paraId="1D580E3A" w14:textId="77777777" w:rsidR="00291A7E" w:rsidRPr="00291A7E" w:rsidRDefault="00291A7E" w:rsidP="00291A7E">
      <w:pPr>
        <w:pStyle w:val="Bibliography"/>
      </w:pPr>
      <w:r w:rsidRPr="00291A7E">
        <w:t xml:space="preserve">26. </w:t>
      </w:r>
      <w:r w:rsidRPr="00291A7E">
        <w:tab/>
        <w:t>World Bank Group. The Global Findex Database Measuring Financial Inclusion and the Fintech Revolution 2017. Published online 2017. https://globalfindex.worldbank.org/</w:t>
      </w:r>
    </w:p>
    <w:p w14:paraId="56268F00" w14:textId="77777777" w:rsidR="00291A7E" w:rsidRPr="00291A7E" w:rsidRDefault="00291A7E" w:rsidP="00291A7E">
      <w:pPr>
        <w:pStyle w:val="Bibliography"/>
      </w:pPr>
      <w:r w:rsidRPr="00291A7E">
        <w:lastRenderedPageBreak/>
        <w:t xml:space="preserve">27. </w:t>
      </w:r>
      <w:r w:rsidRPr="00291A7E">
        <w:tab/>
        <w:t xml:space="preserve">Filmer D, Pritchett LH. Estimating Wealth Effects without Expenditure Data-or Tears: An Application to Educational Enrollments in States of India. </w:t>
      </w:r>
      <w:r w:rsidRPr="00291A7E">
        <w:rPr>
          <w:i/>
          <w:iCs/>
        </w:rPr>
        <w:t>Demography</w:t>
      </w:r>
      <w:r w:rsidRPr="00291A7E">
        <w:t>. 2001;38(1):115-132. doi:10.2307/3088292</w:t>
      </w:r>
    </w:p>
    <w:p w14:paraId="2048DB3A" w14:textId="77777777" w:rsidR="00291A7E" w:rsidRPr="00291A7E" w:rsidRDefault="00291A7E" w:rsidP="00291A7E">
      <w:pPr>
        <w:pStyle w:val="Bibliography"/>
      </w:pPr>
      <w:r w:rsidRPr="00291A7E">
        <w:t xml:space="preserve">28. </w:t>
      </w:r>
      <w:r w:rsidRPr="00291A7E">
        <w:tab/>
        <w:t xml:space="preserve">Sahn DE, Stifel DC. Poverty Comparisons Over Time and Across Countries in Africa. </w:t>
      </w:r>
      <w:r w:rsidRPr="00291A7E">
        <w:rPr>
          <w:i/>
          <w:iCs/>
        </w:rPr>
        <w:t>World Dev</w:t>
      </w:r>
      <w:r w:rsidRPr="00291A7E">
        <w:t>. 2000;28(12):2123-2155. doi:10.1016/S0305-750X(00)00075-9</w:t>
      </w:r>
    </w:p>
    <w:p w14:paraId="260F0CF3" w14:textId="77777777" w:rsidR="00291A7E" w:rsidRPr="00291A7E" w:rsidRDefault="00291A7E" w:rsidP="00291A7E">
      <w:pPr>
        <w:pStyle w:val="Bibliography"/>
      </w:pPr>
      <w:r w:rsidRPr="00291A7E">
        <w:t xml:space="preserve">29. </w:t>
      </w:r>
      <w:r w:rsidRPr="00291A7E">
        <w:tab/>
        <w:t xml:space="preserve">Govindasamy D, Ford N, Kranzer K. Risk factors, barriers and facilitators for linkage to antiretroviral therapy care: a systematic review. </w:t>
      </w:r>
      <w:r w:rsidRPr="00291A7E">
        <w:rPr>
          <w:i/>
          <w:iCs/>
        </w:rPr>
        <w:t>AIDS</w:t>
      </w:r>
      <w:r w:rsidRPr="00291A7E">
        <w:t>. 2012;26(16):2059–2067. doi:10.1097/QAD.0b013e3283578b9b</w:t>
      </w:r>
    </w:p>
    <w:p w14:paraId="2A7087B1" w14:textId="77777777" w:rsidR="00291A7E" w:rsidRPr="00291A7E" w:rsidRDefault="00291A7E" w:rsidP="00291A7E">
      <w:pPr>
        <w:pStyle w:val="Bibliography"/>
      </w:pPr>
      <w:r w:rsidRPr="00291A7E">
        <w:t xml:space="preserve">30. </w:t>
      </w:r>
      <w:r w:rsidRPr="00291A7E">
        <w:tab/>
        <w:t xml:space="preserve">Fox MP, Mazimba A, Seidenberg P, Crooks D, Sikateyo B, Rosen S. Barriers to initiation of antiretroviral treatment in rural and urban areas of Zambia: a cross-sectional study of cost, stigma, and perceptions about ART. </w:t>
      </w:r>
      <w:r w:rsidRPr="00291A7E">
        <w:rPr>
          <w:i/>
          <w:iCs/>
        </w:rPr>
        <w:t>J Int AIDS Soc</w:t>
      </w:r>
      <w:r w:rsidRPr="00291A7E">
        <w:t>. 2010;13(1):8. doi:10.1186/1758-2652-13-8</w:t>
      </w:r>
    </w:p>
    <w:p w14:paraId="3A125ABB" w14:textId="77777777" w:rsidR="00291A7E" w:rsidRPr="00291A7E" w:rsidRDefault="00291A7E" w:rsidP="00291A7E">
      <w:pPr>
        <w:pStyle w:val="Bibliography"/>
      </w:pPr>
      <w:r w:rsidRPr="00291A7E">
        <w:t xml:space="preserve">31. </w:t>
      </w:r>
      <w:r w:rsidRPr="00291A7E">
        <w:tab/>
        <w:t xml:space="preserve">Walsh FJ, Bärnighausen T, Delva W, et al. Impact of early initiation versus national standard of care of antiretroviral therapy in Swaziland’s public sector health system: study protocol for a stepped-wedge randomized trial. </w:t>
      </w:r>
      <w:r w:rsidRPr="00291A7E">
        <w:rPr>
          <w:i/>
          <w:iCs/>
        </w:rPr>
        <w:t>Trials</w:t>
      </w:r>
      <w:r w:rsidRPr="00291A7E">
        <w:t>. 2017;18(1):383. doi:10.1186/s13063-017-2128-8</w:t>
      </w:r>
    </w:p>
    <w:p w14:paraId="6D2F9212" w14:textId="77777777" w:rsidR="00291A7E" w:rsidRPr="00291A7E" w:rsidRDefault="00291A7E" w:rsidP="00291A7E">
      <w:pPr>
        <w:pStyle w:val="Bibliography"/>
      </w:pPr>
      <w:r w:rsidRPr="00291A7E">
        <w:t xml:space="preserve">32. </w:t>
      </w:r>
      <w:r w:rsidRPr="00291A7E">
        <w:tab/>
        <w:t xml:space="preserve">Government of the Kingdom of Eswatini. Swaziland HIV Incidence Measurement Survey 2: A population-based HIV impact assessment. </w:t>
      </w:r>
      <w:r w:rsidRPr="00291A7E">
        <w:rPr>
          <w:i/>
          <w:iCs/>
        </w:rPr>
        <w:t>Mbabane ICAP 2017</w:t>
      </w:r>
      <w:r w:rsidRPr="00291A7E">
        <w:t>. Published online 2017.</w:t>
      </w:r>
    </w:p>
    <w:p w14:paraId="5503AA15" w14:textId="77777777" w:rsidR="00291A7E" w:rsidRPr="00291A7E" w:rsidRDefault="00291A7E" w:rsidP="00291A7E">
      <w:pPr>
        <w:pStyle w:val="Bibliography"/>
      </w:pPr>
      <w:r w:rsidRPr="00291A7E">
        <w:t xml:space="preserve">33. </w:t>
      </w:r>
      <w:r w:rsidRPr="00291A7E">
        <w:tab/>
        <w:t>Kingdom of Swaziland, Ministry of Health. Annual HIV Program Report - HTC, PMTCT, and ART. Published online 2014.</w:t>
      </w:r>
    </w:p>
    <w:p w14:paraId="08A0D70D" w14:textId="77777777" w:rsidR="00291A7E" w:rsidRPr="00291A7E" w:rsidRDefault="00291A7E" w:rsidP="00291A7E">
      <w:pPr>
        <w:pStyle w:val="Bibliography"/>
      </w:pPr>
      <w:r w:rsidRPr="00291A7E">
        <w:t xml:space="preserve">34. </w:t>
      </w:r>
      <w:r w:rsidRPr="00291A7E">
        <w:tab/>
        <w:t>Ministry of Health, Kingdom of Swaziland. Swaziland Integrated HIV Managment Guidelines. Published online 2015. https://hivstar.lshtm.ac.uk/files/2017/11/Swaziland-integrated-HIV-management-guidelines-2015.pdf</w:t>
      </w:r>
    </w:p>
    <w:p w14:paraId="1D66C506" w14:textId="77777777" w:rsidR="00291A7E" w:rsidRPr="00291A7E" w:rsidRDefault="00291A7E" w:rsidP="00291A7E">
      <w:pPr>
        <w:pStyle w:val="Bibliography"/>
      </w:pPr>
      <w:r w:rsidRPr="00291A7E">
        <w:t xml:space="preserve">35. </w:t>
      </w:r>
      <w:r w:rsidRPr="00291A7E">
        <w:tab/>
        <w:t xml:space="preserve">Geldsetzer P, Fink G, Vaikath M, Bärnighausen T. Sampling for Patient Exit Interviews: Assessment of Methods Using Mathematical Derivation and Computer Simulations. </w:t>
      </w:r>
      <w:r w:rsidRPr="00291A7E">
        <w:rPr>
          <w:i/>
          <w:iCs/>
        </w:rPr>
        <w:t>Health Serv Res</w:t>
      </w:r>
      <w:r w:rsidRPr="00291A7E">
        <w:t>. 2018;53(1):256-272. doi:10.1111/1475-6773.12611</w:t>
      </w:r>
    </w:p>
    <w:p w14:paraId="0AA12C9B" w14:textId="77777777" w:rsidR="00291A7E" w:rsidRPr="00291A7E" w:rsidRDefault="00291A7E" w:rsidP="00291A7E">
      <w:pPr>
        <w:pStyle w:val="Bibliography"/>
      </w:pPr>
      <w:r w:rsidRPr="00291A7E">
        <w:t xml:space="preserve">36. </w:t>
      </w:r>
      <w:r w:rsidRPr="00291A7E">
        <w:tab/>
        <w:t xml:space="preserve">Sahn DE, Stifel D. Exploring Alternative Measures of Welfare in the Absence of Expenditure Data. </w:t>
      </w:r>
      <w:r w:rsidRPr="00291A7E">
        <w:rPr>
          <w:i/>
          <w:iCs/>
        </w:rPr>
        <w:t>Rev Income Wealth</w:t>
      </w:r>
      <w:r w:rsidRPr="00291A7E">
        <w:t>. 2003;49(4):463-489. doi:10.1111/j.0034-6586.2003.00100.x</w:t>
      </w:r>
    </w:p>
    <w:p w14:paraId="6438FD57" w14:textId="77777777" w:rsidR="00291A7E" w:rsidRPr="00291A7E" w:rsidRDefault="00291A7E" w:rsidP="00291A7E">
      <w:pPr>
        <w:pStyle w:val="Bibliography"/>
      </w:pPr>
      <w:r w:rsidRPr="00291A7E">
        <w:t xml:space="preserve">37. </w:t>
      </w:r>
      <w:r w:rsidRPr="00291A7E">
        <w:tab/>
        <w:t xml:space="preserve">Filmer D, Pritchett LH. Estimating Wealth Effects without Expenditure Data-or Tears: An Application to Educational Enrollments in States of India. </w:t>
      </w:r>
      <w:r w:rsidRPr="00291A7E">
        <w:rPr>
          <w:i/>
          <w:iCs/>
        </w:rPr>
        <w:t>Demography</w:t>
      </w:r>
      <w:r w:rsidRPr="00291A7E">
        <w:t>. 2001;38(1):115-132. doi:10.2307/3088292</w:t>
      </w:r>
    </w:p>
    <w:p w14:paraId="795BD3EF" w14:textId="77777777" w:rsidR="00291A7E" w:rsidRPr="00291A7E" w:rsidRDefault="00291A7E" w:rsidP="00291A7E">
      <w:pPr>
        <w:pStyle w:val="Bibliography"/>
      </w:pPr>
      <w:r w:rsidRPr="00291A7E">
        <w:t xml:space="preserve">38. </w:t>
      </w:r>
      <w:r w:rsidRPr="00291A7E">
        <w:tab/>
        <w:t xml:space="preserve">Hussey MA, Hughes JP. Design and analysis of stepped wedge cluster randomized trials. </w:t>
      </w:r>
      <w:r w:rsidRPr="00291A7E">
        <w:rPr>
          <w:i/>
          <w:iCs/>
        </w:rPr>
        <w:t>Contemp Clin Trials</w:t>
      </w:r>
      <w:r w:rsidRPr="00291A7E">
        <w:t>. 2007;28(2):182-191. doi:10.1016/j.cct.2006.05.007</w:t>
      </w:r>
    </w:p>
    <w:p w14:paraId="52DE7627" w14:textId="77777777" w:rsidR="00291A7E" w:rsidRPr="00291A7E" w:rsidRDefault="00291A7E" w:rsidP="00291A7E">
      <w:pPr>
        <w:pStyle w:val="Bibliography"/>
      </w:pPr>
      <w:r w:rsidRPr="00291A7E">
        <w:t xml:space="preserve">39. </w:t>
      </w:r>
      <w:r w:rsidRPr="00291A7E">
        <w:tab/>
        <w:t xml:space="preserve">Athey S, Imbens G. The Econometrics of Randomized Experiments. </w:t>
      </w:r>
      <w:r w:rsidRPr="00291A7E">
        <w:rPr>
          <w:i/>
          <w:iCs/>
        </w:rPr>
        <w:t>ArXiv160700698 Econ Stat</w:t>
      </w:r>
      <w:r w:rsidRPr="00291A7E">
        <w:t>. Published online July 3, 2016. Accessed October 30, 2019. http://arxiv.org/abs/1607.00698</w:t>
      </w:r>
    </w:p>
    <w:p w14:paraId="3B679999" w14:textId="77777777" w:rsidR="00291A7E" w:rsidRPr="00291A7E" w:rsidRDefault="00291A7E" w:rsidP="00291A7E">
      <w:pPr>
        <w:pStyle w:val="Bibliography"/>
      </w:pPr>
      <w:r w:rsidRPr="00291A7E">
        <w:lastRenderedPageBreak/>
        <w:t xml:space="preserve">40. </w:t>
      </w:r>
      <w:r w:rsidRPr="00291A7E">
        <w:tab/>
        <w:t xml:space="preserve">Thompson J. </w:t>
      </w:r>
      <w:r w:rsidRPr="00291A7E">
        <w:rPr>
          <w:i/>
          <w:iCs/>
        </w:rPr>
        <w:t>SWPERMUTE: Stata Module to Compute Permutation Tests for Stepped-Wedge Cluster-Randomised Trials</w:t>
      </w:r>
      <w:r w:rsidRPr="00291A7E">
        <w:t>. Boston College Department of Economics; 2019. Accessed October 30, 2019. https://ideas.repec.org/c/boc/bocode/s458426.html</w:t>
      </w:r>
    </w:p>
    <w:p w14:paraId="107C5DD9" w14:textId="77777777" w:rsidR="00291A7E" w:rsidRPr="00291A7E" w:rsidRDefault="00291A7E" w:rsidP="00291A7E">
      <w:pPr>
        <w:pStyle w:val="Bibliography"/>
      </w:pPr>
      <w:r w:rsidRPr="00291A7E">
        <w:t xml:space="preserve">41. </w:t>
      </w:r>
      <w:r w:rsidRPr="00291A7E">
        <w:tab/>
        <w:t xml:space="preserve">Thompson JA, Fielding KL, Davey C, Aiken AM, Hargreaves JR, Hayes RJ. Bias and inference from misspecified mixed‐effect models in stepped wedge trial analysis. </w:t>
      </w:r>
      <w:r w:rsidRPr="00291A7E">
        <w:rPr>
          <w:i/>
          <w:iCs/>
        </w:rPr>
        <w:t>Stat Med</w:t>
      </w:r>
      <w:r w:rsidRPr="00291A7E">
        <w:t>. 2017;36(23):3670-3682. doi:10.1002/sim.7348</w:t>
      </w:r>
    </w:p>
    <w:p w14:paraId="0E290A74" w14:textId="77777777" w:rsidR="00291A7E" w:rsidRPr="00291A7E" w:rsidRDefault="00291A7E" w:rsidP="00291A7E">
      <w:pPr>
        <w:pStyle w:val="Bibliography"/>
      </w:pPr>
      <w:r w:rsidRPr="00291A7E">
        <w:t xml:space="preserve">42. </w:t>
      </w:r>
      <w:r w:rsidRPr="00291A7E">
        <w:tab/>
        <w:t xml:space="preserve">Azur MJ, Stuart EA, Frangakis C, Leaf PJ. Multiple Imputation by Chained Equations: What is it and how does it work? </w:t>
      </w:r>
      <w:r w:rsidRPr="00291A7E">
        <w:rPr>
          <w:i/>
          <w:iCs/>
        </w:rPr>
        <w:t>Int J Methods Psychiatr Res</w:t>
      </w:r>
      <w:r w:rsidRPr="00291A7E">
        <w:t>. 2011;20(1):40-49. doi:10.1002/mpr.329</w:t>
      </w:r>
    </w:p>
    <w:p w14:paraId="5782B598" w14:textId="77777777" w:rsidR="00291A7E" w:rsidRPr="00291A7E" w:rsidRDefault="00291A7E" w:rsidP="00291A7E">
      <w:pPr>
        <w:pStyle w:val="Bibliography"/>
      </w:pPr>
      <w:r w:rsidRPr="00291A7E">
        <w:t xml:space="preserve">43. </w:t>
      </w:r>
      <w:r w:rsidRPr="00291A7E">
        <w:tab/>
        <w:t xml:space="preserve">Royston P, White IR. Multiple Imputation by Chained Equations (MICE): Implementation in Stata. </w:t>
      </w:r>
      <w:r w:rsidRPr="00291A7E">
        <w:rPr>
          <w:i/>
          <w:iCs/>
        </w:rPr>
        <w:t>Journal of Statistical Software</w:t>
      </w:r>
      <w:r w:rsidRPr="00291A7E">
        <w:t>.</w:t>
      </w:r>
    </w:p>
    <w:p w14:paraId="4C7D5D90" w14:textId="77777777" w:rsidR="00291A7E" w:rsidRPr="00291A7E" w:rsidRDefault="00291A7E" w:rsidP="00291A7E">
      <w:pPr>
        <w:pStyle w:val="Bibliography"/>
      </w:pPr>
      <w:r w:rsidRPr="00291A7E">
        <w:t xml:space="preserve">44. </w:t>
      </w:r>
      <w:r w:rsidRPr="00291A7E">
        <w:tab/>
        <w:t xml:space="preserve">Yu L-M, Burton A, Rivero-Arias O. Evaluation of software for multiple imputation of semi-continuous data. </w:t>
      </w:r>
      <w:r w:rsidRPr="00291A7E">
        <w:rPr>
          <w:i/>
          <w:iCs/>
        </w:rPr>
        <w:t>Stat Methods Med Res</w:t>
      </w:r>
      <w:r w:rsidRPr="00291A7E">
        <w:t>. 2007;16(3):243-258. doi:10.1177/0962280206074464</w:t>
      </w:r>
    </w:p>
    <w:p w14:paraId="007B32E3" w14:textId="77777777" w:rsidR="00291A7E" w:rsidRPr="00291A7E" w:rsidRDefault="00291A7E" w:rsidP="00291A7E">
      <w:pPr>
        <w:pStyle w:val="Bibliography"/>
      </w:pPr>
      <w:r w:rsidRPr="00291A7E">
        <w:t xml:space="preserve">45. </w:t>
      </w:r>
      <w:r w:rsidRPr="00291A7E">
        <w:tab/>
        <w:t xml:space="preserve">Azur MJ, Stuart EA, Frangakis C, Leaf PJ. Multiple Imputation by Chained Equations: What is it and how does it work? </w:t>
      </w:r>
      <w:r w:rsidRPr="00291A7E">
        <w:rPr>
          <w:i/>
          <w:iCs/>
        </w:rPr>
        <w:t>Int J Methods Psychiatr Res</w:t>
      </w:r>
      <w:r w:rsidRPr="00291A7E">
        <w:t>. 2011;20(1):40-49. doi:10.1002/mpr.329</w:t>
      </w:r>
    </w:p>
    <w:p w14:paraId="115BCC37" w14:textId="77777777" w:rsidR="00291A7E" w:rsidRPr="00291A7E" w:rsidRDefault="00291A7E" w:rsidP="00291A7E">
      <w:pPr>
        <w:pStyle w:val="Bibliography"/>
      </w:pPr>
      <w:r w:rsidRPr="00291A7E">
        <w:t xml:space="preserve">46. </w:t>
      </w:r>
      <w:r w:rsidRPr="00291A7E">
        <w:tab/>
        <w:t xml:space="preserve">Athey S, Tibshirani J, Wager S. Generalized random forests. </w:t>
      </w:r>
      <w:r w:rsidRPr="00291A7E">
        <w:rPr>
          <w:i/>
          <w:iCs/>
        </w:rPr>
        <w:t>Ann Stat</w:t>
      </w:r>
      <w:r w:rsidRPr="00291A7E">
        <w:t>. 2019;47(2):1148-1178. doi:10.1214/18-AOS1709</w:t>
      </w:r>
    </w:p>
    <w:p w14:paraId="09B611BB" w14:textId="77777777" w:rsidR="00291A7E" w:rsidRPr="00291A7E" w:rsidRDefault="00291A7E" w:rsidP="00291A7E">
      <w:pPr>
        <w:pStyle w:val="Bibliography"/>
      </w:pPr>
      <w:r w:rsidRPr="00291A7E">
        <w:t xml:space="preserve">47. </w:t>
      </w:r>
      <w:r w:rsidRPr="00291A7E">
        <w:tab/>
        <w:t xml:space="preserve">Athey S, Wager S. Estimating Treatment Effects with Causal Forests: An Application. </w:t>
      </w:r>
      <w:r w:rsidRPr="00291A7E">
        <w:rPr>
          <w:i/>
          <w:iCs/>
        </w:rPr>
        <w:t>ArXiv190207409 Stat</w:t>
      </w:r>
      <w:r w:rsidRPr="00291A7E">
        <w:t>. Published online February 20, 2019. Accessed February 21, 2020. http://arxiv.org/abs/1902.07409</w:t>
      </w:r>
    </w:p>
    <w:p w14:paraId="28D2F74F" w14:textId="77777777" w:rsidR="00291A7E" w:rsidRPr="00291A7E" w:rsidRDefault="00291A7E" w:rsidP="00291A7E">
      <w:pPr>
        <w:pStyle w:val="Bibliography"/>
      </w:pPr>
      <w:r w:rsidRPr="00291A7E">
        <w:t xml:space="preserve">48. </w:t>
      </w:r>
      <w:r w:rsidRPr="00291A7E">
        <w:tab/>
        <w:t xml:space="preserve">Wager S, Athey S. Estimation and Inference of Heterogeneous Treatment Effects using Random Forests. </w:t>
      </w:r>
      <w:r w:rsidRPr="00291A7E">
        <w:rPr>
          <w:i/>
          <w:iCs/>
        </w:rPr>
        <w:t>J Am Stat Assoc</w:t>
      </w:r>
      <w:r w:rsidRPr="00291A7E">
        <w:t>. 2018;113(523):1228-1242. doi:10.1080/01621459.2017.1319839</w:t>
      </w:r>
    </w:p>
    <w:p w14:paraId="40664EA7" w14:textId="77777777" w:rsidR="00291A7E" w:rsidRPr="00291A7E" w:rsidRDefault="00291A7E" w:rsidP="00291A7E">
      <w:pPr>
        <w:pStyle w:val="Bibliography"/>
      </w:pPr>
      <w:r w:rsidRPr="00291A7E">
        <w:t xml:space="preserve">49. </w:t>
      </w:r>
      <w:r w:rsidRPr="00291A7E">
        <w:tab/>
        <w:t xml:space="preserve">Lee M. Non-parametric tests for distributional treatment effect for randomly censored responses. </w:t>
      </w:r>
      <w:r w:rsidRPr="00291A7E">
        <w:rPr>
          <w:i/>
          <w:iCs/>
        </w:rPr>
        <w:t>J R Stat Soc Ser B Stat Methodol</w:t>
      </w:r>
      <w:r w:rsidRPr="00291A7E">
        <w:t>. 2009;71(1):243-264. doi:10.1111/j.1467-9868.2008.00683.x</w:t>
      </w:r>
    </w:p>
    <w:p w14:paraId="2FE440A9" w14:textId="77777777" w:rsidR="00291A7E" w:rsidRPr="00291A7E" w:rsidRDefault="00291A7E" w:rsidP="00291A7E">
      <w:pPr>
        <w:pStyle w:val="Bibliography"/>
      </w:pPr>
      <w:r w:rsidRPr="00291A7E">
        <w:rPr>
          <w:lang w:val="de-DE"/>
        </w:rPr>
        <w:t xml:space="preserve">50. </w:t>
      </w:r>
      <w:r w:rsidRPr="00291A7E">
        <w:rPr>
          <w:lang w:val="de-DE"/>
        </w:rPr>
        <w:tab/>
        <w:t xml:space="preserve">Crump RK, Hotz VJ, Imbens GW, Mitnik OA. </w:t>
      </w:r>
      <w:r w:rsidRPr="00291A7E">
        <w:t xml:space="preserve">Nonparametric Tests for Treatment Effect Heterogeneity. </w:t>
      </w:r>
      <w:r w:rsidRPr="00291A7E">
        <w:rPr>
          <w:i/>
          <w:iCs/>
        </w:rPr>
        <w:t>Rev Econ Stat</w:t>
      </w:r>
      <w:r w:rsidRPr="00291A7E">
        <w:t>. 2008;90(3):389-405.</w:t>
      </w:r>
    </w:p>
    <w:p w14:paraId="7E1AF52A" w14:textId="62916969" w:rsidR="00204654" w:rsidRPr="004F036B" w:rsidRDefault="00204654" w:rsidP="009B6A6A">
      <w:pPr>
        <w:spacing w:line="360" w:lineRule="auto"/>
        <w:rPr>
          <w:b/>
          <w:lang w:val="en-GB"/>
        </w:rPr>
      </w:pPr>
    </w:p>
    <w:p w14:paraId="3F7F314E" w14:textId="19B263AB" w:rsidR="008E4CF4" w:rsidRDefault="001A36A7" w:rsidP="0090467D">
      <w:pPr>
        <w:spacing w:after="160" w:line="360" w:lineRule="auto"/>
        <w:rPr>
          <w:i/>
          <w:iCs/>
          <w:color w:val="000000" w:themeColor="text1"/>
        </w:rPr>
      </w:pPr>
      <w:r w:rsidRPr="001A36A7">
        <w:rPr>
          <w:i/>
          <w:iCs/>
          <w:color w:val="000000" w:themeColor="text1"/>
        </w:rPr>
        <w:t xml:space="preserve"> </w:t>
      </w:r>
    </w:p>
    <w:p w14:paraId="6BA653BC" w14:textId="77777777" w:rsidR="008E4CF4" w:rsidRDefault="008E4CF4">
      <w:pPr>
        <w:spacing w:after="160" w:line="259" w:lineRule="auto"/>
        <w:rPr>
          <w:i/>
          <w:iCs/>
          <w:color w:val="000000" w:themeColor="text1"/>
        </w:rPr>
      </w:pPr>
      <w:r>
        <w:rPr>
          <w:i/>
          <w:iCs/>
          <w:color w:val="000000" w:themeColor="text1"/>
        </w:rPr>
        <w:br w:type="page"/>
      </w:r>
    </w:p>
    <w:p w14:paraId="62B37593" w14:textId="395B2843" w:rsidR="006E41EC" w:rsidRDefault="008E4CF4" w:rsidP="008E4CF4">
      <w:pPr>
        <w:pStyle w:val="Heading1"/>
        <w:rPr>
          <w:rFonts w:ascii="Times New Roman" w:hAnsi="Times New Roman" w:cs="Times New Roman"/>
          <w:b/>
          <w:color w:val="auto"/>
          <w:sz w:val="24"/>
          <w:szCs w:val="24"/>
          <w:lang w:val="en-GB"/>
        </w:rPr>
      </w:pPr>
      <w:r w:rsidRPr="008E4CF4">
        <w:rPr>
          <w:rFonts w:ascii="Times New Roman" w:hAnsi="Times New Roman" w:cs="Times New Roman"/>
          <w:b/>
          <w:color w:val="auto"/>
          <w:sz w:val="24"/>
          <w:szCs w:val="24"/>
          <w:lang w:val="en-GB"/>
        </w:rPr>
        <w:lastRenderedPageBreak/>
        <w:t>Supplementary Documentation</w:t>
      </w:r>
    </w:p>
    <w:p w14:paraId="792468B8" w14:textId="0FB448F3" w:rsidR="008E4CF4" w:rsidRDefault="008E4CF4" w:rsidP="008E4CF4">
      <w:pPr>
        <w:rPr>
          <w:lang w:val="en-GB"/>
        </w:rPr>
      </w:pPr>
    </w:p>
    <w:p w14:paraId="125F5E55" w14:textId="77777777" w:rsidR="00BF678A" w:rsidRDefault="00BF678A" w:rsidP="008E4CF4">
      <w:pPr>
        <w:rPr>
          <w:lang w:val="en-GB"/>
        </w:rPr>
      </w:pPr>
    </w:p>
    <w:p w14:paraId="032AC19C" w14:textId="6545ED0D" w:rsidR="003A633A" w:rsidRPr="004F036B" w:rsidRDefault="00516805" w:rsidP="003A633A">
      <w:pPr>
        <w:spacing w:line="480" w:lineRule="auto"/>
        <w:rPr>
          <w:color w:val="000000" w:themeColor="text1"/>
        </w:rPr>
      </w:pPr>
      <w:bookmarkStart w:id="28" w:name="_Hlk48170225"/>
      <w:bookmarkStart w:id="29" w:name="_Hlk48310949"/>
      <w:r>
        <w:rPr>
          <w:lang w:val="en-GB"/>
        </w:rPr>
        <w:t>Supplementary File 1A</w:t>
      </w:r>
      <w:r w:rsidR="003A633A" w:rsidRPr="004F036B">
        <w:rPr>
          <w:lang w:val="en-GB"/>
        </w:rPr>
        <w:t xml:space="preserve">. </w:t>
      </w:r>
      <w:bookmarkStart w:id="30" w:name="_Hlk21343703"/>
      <w:r w:rsidR="003A633A" w:rsidRPr="004F036B">
        <w:rPr>
          <w:color w:val="000000" w:themeColor="text1"/>
        </w:rPr>
        <w:t>The causal effect of EAAA on non-resting time</w:t>
      </w:r>
    </w:p>
    <w:bookmarkEnd w:id="30"/>
    <w:p w14:paraId="6FBA43A7" w14:textId="196E2532" w:rsidR="003A633A" w:rsidRPr="004F036B" w:rsidRDefault="00516805" w:rsidP="003A633A">
      <w:pPr>
        <w:autoSpaceDE w:val="0"/>
        <w:autoSpaceDN w:val="0"/>
        <w:adjustRightInd w:val="0"/>
        <w:spacing w:line="480" w:lineRule="auto"/>
        <w:rPr>
          <w:color w:val="000000" w:themeColor="text1"/>
        </w:rPr>
      </w:pPr>
      <w:r>
        <w:rPr>
          <w:lang w:val="en-GB"/>
        </w:rPr>
        <w:t>Supplementary File 1B</w:t>
      </w:r>
      <w:r w:rsidR="003A633A" w:rsidRPr="004F036B">
        <w:rPr>
          <w:color w:val="000000" w:themeColor="text1"/>
        </w:rPr>
        <w:t>. The causal effect of EAAA on income-generating time</w:t>
      </w:r>
    </w:p>
    <w:p w14:paraId="3FC91212" w14:textId="571F81A2" w:rsidR="003A633A" w:rsidRPr="004F036B" w:rsidRDefault="00516805" w:rsidP="003A633A">
      <w:pPr>
        <w:autoSpaceDE w:val="0"/>
        <w:autoSpaceDN w:val="0"/>
        <w:adjustRightInd w:val="0"/>
        <w:spacing w:line="480" w:lineRule="auto"/>
        <w:rPr>
          <w:color w:val="000000" w:themeColor="text1"/>
        </w:rPr>
      </w:pPr>
      <w:r>
        <w:rPr>
          <w:lang w:val="en-GB"/>
        </w:rPr>
        <w:t>Supplementary File 1C</w:t>
      </w:r>
      <w:r w:rsidR="003A633A" w:rsidRPr="004F036B">
        <w:rPr>
          <w:color w:val="000000" w:themeColor="text1"/>
        </w:rPr>
        <w:t>. The causal effect of EAAA on employment</w:t>
      </w:r>
    </w:p>
    <w:p w14:paraId="2D0E73CC" w14:textId="444EBA2A" w:rsidR="003A633A" w:rsidRPr="004F036B" w:rsidRDefault="00516805" w:rsidP="003A633A">
      <w:pPr>
        <w:tabs>
          <w:tab w:val="left" w:pos="2747"/>
        </w:tabs>
        <w:autoSpaceDE w:val="0"/>
        <w:autoSpaceDN w:val="0"/>
        <w:adjustRightInd w:val="0"/>
        <w:spacing w:line="480" w:lineRule="auto"/>
        <w:rPr>
          <w:color w:val="000000" w:themeColor="text1"/>
        </w:rPr>
      </w:pPr>
      <w:r>
        <w:rPr>
          <w:lang w:val="en-GB"/>
        </w:rPr>
        <w:t>Supplementary File 1D</w:t>
      </w:r>
      <w:r w:rsidR="003A633A" w:rsidRPr="004F036B">
        <w:rPr>
          <w:color w:val="000000" w:themeColor="text1"/>
        </w:rPr>
        <w:t>. The causal effect of EAAA on household expenditures (non-imputed sample)</w:t>
      </w:r>
    </w:p>
    <w:p w14:paraId="22293A41" w14:textId="56B92074" w:rsidR="003A633A" w:rsidRPr="002E33BD" w:rsidRDefault="00516805" w:rsidP="003A633A">
      <w:pPr>
        <w:tabs>
          <w:tab w:val="left" w:pos="2747"/>
        </w:tabs>
        <w:autoSpaceDE w:val="0"/>
        <w:autoSpaceDN w:val="0"/>
        <w:adjustRightInd w:val="0"/>
        <w:spacing w:line="480" w:lineRule="auto"/>
        <w:rPr>
          <w:color w:val="000000" w:themeColor="text1"/>
        </w:rPr>
      </w:pPr>
      <w:r>
        <w:rPr>
          <w:lang w:val="en-GB"/>
        </w:rPr>
        <w:t>Supplementary File 1E</w:t>
      </w:r>
      <w:r w:rsidR="003A633A" w:rsidRPr="004F036B">
        <w:rPr>
          <w:color w:val="000000" w:themeColor="text1"/>
        </w:rPr>
        <w:t>. The causal effect of EAAA on household expenditures: Imputed sample</w:t>
      </w:r>
    </w:p>
    <w:p w14:paraId="6BAA2013" w14:textId="14D04A88" w:rsidR="003A633A" w:rsidRPr="004F036B" w:rsidRDefault="00516805" w:rsidP="003A633A">
      <w:pPr>
        <w:autoSpaceDE w:val="0"/>
        <w:autoSpaceDN w:val="0"/>
        <w:adjustRightInd w:val="0"/>
        <w:spacing w:line="480" w:lineRule="auto"/>
        <w:rPr>
          <w:color w:val="000000" w:themeColor="text1"/>
        </w:rPr>
      </w:pPr>
      <w:r>
        <w:rPr>
          <w:lang w:val="en-GB"/>
        </w:rPr>
        <w:t>Supplementary File 1F</w:t>
      </w:r>
      <w:r w:rsidR="003A633A" w:rsidRPr="004F036B">
        <w:rPr>
          <w:color w:val="000000" w:themeColor="text1"/>
        </w:rPr>
        <w:t>. The causal effect of EAAA on asset and living standard index</w:t>
      </w:r>
    </w:p>
    <w:p w14:paraId="23FEBCD8" w14:textId="66557174" w:rsidR="003A633A" w:rsidRPr="004F036B" w:rsidRDefault="00516805" w:rsidP="003A633A">
      <w:pPr>
        <w:spacing w:line="480" w:lineRule="auto"/>
        <w:rPr>
          <w:lang w:val="en-GB"/>
        </w:rPr>
      </w:pPr>
      <w:r>
        <w:rPr>
          <w:lang w:val="en-GB"/>
        </w:rPr>
        <w:t>Supplementary File 1G</w:t>
      </w:r>
      <w:r w:rsidR="003A633A" w:rsidRPr="004F036B">
        <w:rPr>
          <w:lang w:val="en-GB"/>
        </w:rPr>
        <w:t>. OLS Specifications</w:t>
      </w:r>
    </w:p>
    <w:p w14:paraId="75C0A241" w14:textId="3007E49F" w:rsidR="003A633A" w:rsidRDefault="00516805" w:rsidP="003A633A">
      <w:pPr>
        <w:autoSpaceDE w:val="0"/>
        <w:autoSpaceDN w:val="0"/>
        <w:adjustRightInd w:val="0"/>
        <w:spacing w:line="276" w:lineRule="auto"/>
        <w:rPr>
          <w:color w:val="000000" w:themeColor="text1"/>
        </w:rPr>
      </w:pPr>
      <w:r>
        <w:rPr>
          <w:lang w:val="en-GB"/>
        </w:rPr>
        <w:t>Supplementary File 1H</w:t>
      </w:r>
      <w:r w:rsidR="003A633A" w:rsidRPr="004F036B">
        <w:rPr>
          <w:color w:val="000000" w:themeColor="text1"/>
        </w:rPr>
        <w:t xml:space="preserve">. The causal effect of EAAA on a principal component weighted asset and living standard index </w:t>
      </w:r>
    </w:p>
    <w:bookmarkEnd w:id="28"/>
    <w:p w14:paraId="601D024C" w14:textId="77777777" w:rsidR="003A633A" w:rsidRPr="003A633A" w:rsidRDefault="003A633A" w:rsidP="008E4CF4">
      <w:pPr>
        <w:spacing w:after="240" w:line="360" w:lineRule="auto"/>
        <w:rPr>
          <w:bCs/>
        </w:rPr>
      </w:pPr>
    </w:p>
    <w:bookmarkEnd w:id="29"/>
    <w:p w14:paraId="0B3FBAC5" w14:textId="77777777" w:rsidR="008E4CF4" w:rsidRPr="004F036B" w:rsidRDefault="008E4CF4" w:rsidP="008E4CF4">
      <w:pPr>
        <w:autoSpaceDE w:val="0"/>
        <w:autoSpaceDN w:val="0"/>
        <w:adjustRightInd w:val="0"/>
        <w:spacing w:after="240" w:line="360" w:lineRule="auto"/>
        <w:rPr>
          <w:color w:val="000000" w:themeColor="text1"/>
        </w:rPr>
      </w:pPr>
      <w:r>
        <w:rPr>
          <w:color w:val="000000" w:themeColor="text1"/>
        </w:rPr>
        <w:t>Figure 3 – figure supplement 1.</w:t>
      </w:r>
      <w:r w:rsidRPr="004F036B">
        <w:rPr>
          <w:color w:val="000000" w:themeColor="text1"/>
        </w:rPr>
        <w:t xml:space="preserve"> Histogram</w:t>
      </w:r>
      <w:r>
        <w:rPr>
          <w:color w:val="000000" w:themeColor="text1"/>
        </w:rPr>
        <w:t>: Non-resting Time Use</w:t>
      </w:r>
    </w:p>
    <w:p w14:paraId="64BA9C3A" w14:textId="77777777" w:rsidR="008E4CF4" w:rsidRPr="004F036B" w:rsidRDefault="008E4CF4" w:rsidP="008E4CF4">
      <w:pPr>
        <w:autoSpaceDE w:val="0"/>
        <w:autoSpaceDN w:val="0"/>
        <w:adjustRightInd w:val="0"/>
        <w:spacing w:after="240" w:line="360" w:lineRule="auto"/>
        <w:rPr>
          <w:color w:val="000000" w:themeColor="text1"/>
        </w:rPr>
      </w:pPr>
      <w:r>
        <w:rPr>
          <w:color w:val="000000" w:themeColor="text1"/>
        </w:rPr>
        <w:t>Figure 3 – figure supplement 2</w:t>
      </w:r>
      <w:r w:rsidRPr="004F036B">
        <w:rPr>
          <w:color w:val="000000" w:themeColor="text1"/>
        </w:rPr>
        <w:t>Histogram</w:t>
      </w:r>
      <w:r>
        <w:rPr>
          <w:color w:val="000000" w:themeColor="text1"/>
        </w:rPr>
        <w:t>: Income-Generating Time Use</w:t>
      </w:r>
    </w:p>
    <w:p w14:paraId="7F3352CF" w14:textId="77777777" w:rsidR="008E4CF4" w:rsidRPr="004F036B" w:rsidRDefault="008E4CF4" w:rsidP="008E4CF4">
      <w:pPr>
        <w:autoSpaceDE w:val="0"/>
        <w:autoSpaceDN w:val="0"/>
        <w:adjustRightInd w:val="0"/>
        <w:spacing w:after="240" w:line="360" w:lineRule="auto"/>
        <w:rPr>
          <w:color w:val="000000" w:themeColor="text1"/>
        </w:rPr>
      </w:pPr>
      <w:r>
        <w:rPr>
          <w:color w:val="000000" w:themeColor="text1"/>
        </w:rPr>
        <w:t>Figure 3 – figure supplement 3.</w:t>
      </w:r>
      <w:r w:rsidRPr="004F036B">
        <w:rPr>
          <w:color w:val="000000" w:themeColor="text1"/>
        </w:rPr>
        <w:t xml:space="preserve"> Histogram</w:t>
      </w:r>
      <w:r>
        <w:rPr>
          <w:color w:val="000000" w:themeColor="text1"/>
        </w:rPr>
        <w:t>: Household Expenditures</w:t>
      </w:r>
    </w:p>
    <w:p w14:paraId="4AE60E8F" w14:textId="7AE46530" w:rsidR="008E4CF4" w:rsidRDefault="008E4CF4" w:rsidP="008E4CF4">
      <w:pPr>
        <w:autoSpaceDE w:val="0"/>
        <w:autoSpaceDN w:val="0"/>
        <w:adjustRightInd w:val="0"/>
        <w:spacing w:after="240" w:line="360" w:lineRule="auto"/>
        <w:rPr>
          <w:color w:val="000000" w:themeColor="text1"/>
        </w:rPr>
      </w:pPr>
      <w:r>
        <w:rPr>
          <w:color w:val="000000" w:themeColor="text1"/>
        </w:rPr>
        <w:t>Figure 3 – figure supplement 4: Household Assets/Living Standards</w:t>
      </w:r>
    </w:p>
    <w:p w14:paraId="69A691AF" w14:textId="607C50B9" w:rsidR="008E4CF4" w:rsidRPr="004F036B" w:rsidRDefault="008E4CF4" w:rsidP="008E4CF4">
      <w:pPr>
        <w:spacing w:after="240" w:line="360" w:lineRule="auto"/>
        <w:rPr>
          <w:color w:val="000000" w:themeColor="text1"/>
        </w:rPr>
      </w:pPr>
      <w:r>
        <w:rPr>
          <w:color w:val="000000" w:themeColor="text1"/>
        </w:rPr>
        <w:t>Figure 3 – figure supplement 5</w:t>
      </w:r>
      <w:r w:rsidRPr="004F036B">
        <w:rPr>
          <w:color w:val="000000" w:themeColor="text1"/>
        </w:rPr>
        <w:t>. Heterogeneity Plots</w:t>
      </w:r>
      <w:r>
        <w:rPr>
          <w:color w:val="000000" w:themeColor="text1"/>
        </w:rPr>
        <w:t xml:space="preserve"> for </w:t>
      </w:r>
      <w:r w:rsidRPr="004F036B">
        <w:rPr>
          <w:color w:val="000000" w:themeColor="text1"/>
        </w:rPr>
        <w:t>Non-</w:t>
      </w:r>
      <w:r>
        <w:rPr>
          <w:color w:val="000000" w:themeColor="text1"/>
        </w:rPr>
        <w:t>Re</w:t>
      </w:r>
      <w:r w:rsidRPr="004F036B">
        <w:rPr>
          <w:color w:val="000000" w:themeColor="text1"/>
        </w:rPr>
        <w:t>sting Time</w:t>
      </w:r>
      <w:r>
        <w:rPr>
          <w:color w:val="000000" w:themeColor="text1"/>
        </w:rPr>
        <w:t xml:space="preserve"> Use</w:t>
      </w:r>
    </w:p>
    <w:p w14:paraId="056349A3" w14:textId="5DFFBD27" w:rsidR="008E4CF4" w:rsidRDefault="008E4CF4" w:rsidP="008E4CF4">
      <w:pPr>
        <w:spacing w:after="240" w:line="360" w:lineRule="auto"/>
        <w:rPr>
          <w:noProof/>
        </w:rPr>
      </w:pPr>
      <w:r>
        <w:rPr>
          <w:color w:val="000000" w:themeColor="text1"/>
        </w:rPr>
        <w:t>Figure 3 – figure supplement 6</w:t>
      </w:r>
      <w:r w:rsidRPr="004F036B">
        <w:rPr>
          <w:noProof/>
        </w:rPr>
        <w:t xml:space="preserve">. </w:t>
      </w:r>
      <w:r w:rsidRPr="004F036B">
        <w:rPr>
          <w:color w:val="000000" w:themeColor="text1"/>
        </w:rPr>
        <w:t>Heterogeneity Plots</w:t>
      </w:r>
      <w:r>
        <w:rPr>
          <w:color w:val="000000" w:themeColor="text1"/>
        </w:rPr>
        <w:t xml:space="preserve"> for </w:t>
      </w:r>
      <w:r w:rsidRPr="004F036B">
        <w:rPr>
          <w:noProof/>
        </w:rPr>
        <w:t>Income-generating Time</w:t>
      </w:r>
    </w:p>
    <w:p w14:paraId="0FAD3BB7" w14:textId="77777777" w:rsidR="008E4CF4" w:rsidRPr="004F036B" w:rsidRDefault="008E4CF4" w:rsidP="008E4CF4">
      <w:pPr>
        <w:autoSpaceDE w:val="0"/>
        <w:autoSpaceDN w:val="0"/>
        <w:adjustRightInd w:val="0"/>
        <w:spacing w:after="240" w:line="360" w:lineRule="auto"/>
        <w:rPr>
          <w:color w:val="000000" w:themeColor="text1"/>
        </w:rPr>
      </w:pPr>
      <w:r>
        <w:rPr>
          <w:color w:val="000000" w:themeColor="text1"/>
        </w:rPr>
        <w:t>Figure 3 – figure supplement 7</w:t>
      </w:r>
      <w:r w:rsidRPr="004F036B">
        <w:rPr>
          <w:color w:val="000000" w:themeColor="text1"/>
        </w:rPr>
        <w:t>. Heterogeneity Plots</w:t>
      </w:r>
      <w:r>
        <w:rPr>
          <w:color w:val="000000" w:themeColor="text1"/>
        </w:rPr>
        <w:t xml:space="preserve"> for Employment</w:t>
      </w:r>
    </w:p>
    <w:p w14:paraId="24AF2D2A" w14:textId="7F76186C" w:rsidR="008E4CF4" w:rsidRPr="004F036B" w:rsidRDefault="008E4CF4" w:rsidP="008E4CF4">
      <w:pPr>
        <w:spacing w:after="240" w:line="360" w:lineRule="auto"/>
        <w:rPr>
          <w:color w:val="000000" w:themeColor="text1"/>
        </w:rPr>
      </w:pPr>
      <w:r>
        <w:rPr>
          <w:color w:val="000000" w:themeColor="text1"/>
        </w:rPr>
        <w:t>Figure 3 – figure supplement 8</w:t>
      </w:r>
      <w:r w:rsidRPr="004F036B">
        <w:rPr>
          <w:color w:val="000000" w:themeColor="text1"/>
        </w:rPr>
        <w:t>. Heterogeneity Plots</w:t>
      </w:r>
      <w:r>
        <w:rPr>
          <w:color w:val="000000" w:themeColor="text1"/>
        </w:rPr>
        <w:t xml:space="preserve"> for </w:t>
      </w:r>
      <w:r w:rsidRPr="004F036B">
        <w:rPr>
          <w:color w:val="000000" w:themeColor="text1"/>
        </w:rPr>
        <w:t>Household Expenditures:</w:t>
      </w:r>
    </w:p>
    <w:p w14:paraId="289CF460" w14:textId="59857935" w:rsidR="008E4CF4" w:rsidRDefault="008E4CF4" w:rsidP="008E4CF4">
      <w:pPr>
        <w:spacing w:after="240" w:line="360" w:lineRule="auto"/>
        <w:rPr>
          <w:color w:val="000000" w:themeColor="text1"/>
        </w:rPr>
      </w:pPr>
      <w:r>
        <w:rPr>
          <w:color w:val="000000" w:themeColor="text1"/>
        </w:rPr>
        <w:t>Figure 3 – figure supplement 9</w:t>
      </w:r>
      <w:r w:rsidRPr="004F036B">
        <w:rPr>
          <w:color w:val="000000" w:themeColor="text1"/>
        </w:rPr>
        <w:t>. Heterogeneity Plots</w:t>
      </w:r>
      <w:r>
        <w:rPr>
          <w:color w:val="000000" w:themeColor="text1"/>
        </w:rPr>
        <w:t xml:space="preserve"> for </w:t>
      </w:r>
      <w:r w:rsidRPr="004F036B">
        <w:rPr>
          <w:color w:val="000000" w:themeColor="text1"/>
        </w:rPr>
        <w:t>Household Assets</w:t>
      </w:r>
    </w:p>
    <w:p w14:paraId="2857DCBF" w14:textId="75F2DE67" w:rsidR="008E4CF4" w:rsidRDefault="00522184" w:rsidP="00522184">
      <w:pPr>
        <w:spacing w:after="240" w:line="360" w:lineRule="auto"/>
        <w:rPr>
          <w:color w:val="000000" w:themeColor="text1"/>
        </w:rPr>
      </w:pPr>
      <w:bookmarkStart w:id="31" w:name="_Hlk48311223"/>
      <w:r>
        <w:rPr>
          <w:color w:val="000000" w:themeColor="text1"/>
        </w:rPr>
        <w:t xml:space="preserve">Source Data – Datasets, </w:t>
      </w:r>
      <w:proofErr w:type="spellStart"/>
      <w:r>
        <w:rPr>
          <w:color w:val="000000" w:themeColor="text1"/>
        </w:rPr>
        <w:t>Dofiles</w:t>
      </w:r>
      <w:proofErr w:type="spellEnd"/>
      <w:r>
        <w:rPr>
          <w:color w:val="000000" w:themeColor="text1"/>
        </w:rPr>
        <w:t>, and R Code for Replication Purposes</w:t>
      </w:r>
    </w:p>
    <w:bookmarkEnd w:id="31"/>
    <w:p w14:paraId="2150B7E4" w14:textId="77777777" w:rsidR="008E4CF4" w:rsidRPr="0090467D" w:rsidRDefault="008E4CF4" w:rsidP="0090467D">
      <w:pPr>
        <w:spacing w:after="160" w:line="360" w:lineRule="auto"/>
        <w:rPr>
          <w:b/>
          <w:lang w:val="en-GB"/>
        </w:rPr>
      </w:pPr>
    </w:p>
    <w:sectPr w:rsidR="008E4CF4" w:rsidRPr="0090467D" w:rsidSect="005F12E8">
      <w:footerReference w:type="default" r:id="rId14"/>
      <w:pgSz w:w="11906" w:h="16838"/>
      <w:pgMar w:top="1440" w:right="1440" w:bottom="1440" w:left="1440" w:header="709" w:footer="709" w:gutter="0"/>
      <w:lnNumType w:countBy="1" w:start="26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3CC1DF" w14:textId="77777777" w:rsidR="00740FDB" w:rsidRDefault="00740FDB" w:rsidP="0066311D">
      <w:r>
        <w:separator/>
      </w:r>
    </w:p>
  </w:endnote>
  <w:endnote w:type="continuationSeparator" w:id="0">
    <w:p w14:paraId="02509060" w14:textId="77777777" w:rsidR="00740FDB" w:rsidRDefault="00740FDB" w:rsidP="006631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TimesNewRomanPSMT">
    <w:altName w:val="Yu Gothic"/>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60815332"/>
      <w:docPartObj>
        <w:docPartGallery w:val="Page Numbers (Bottom of Page)"/>
        <w:docPartUnique/>
      </w:docPartObj>
    </w:sdtPr>
    <w:sdtEndPr>
      <w:rPr>
        <w:noProof/>
      </w:rPr>
    </w:sdtEndPr>
    <w:sdtContent>
      <w:p w14:paraId="1922C6AB" w14:textId="0574018A" w:rsidR="00FF5189" w:rsidRDefault="00FF5189">
        <w:pPr>
          <w:pStyle w:val="Footer"/>
          <w:jc w:val="right"/>
        </w:pPr>
        <w:r>
          <w:rPr>
            <w:noProof/>
          </w:rPr>
          <w:t>1</w:t>
        </w:r>
      </w:p>
    </w:sdtContent>
  </w:sdt>
  <w:p w14:paraId="7A902BBE" w14:textId="77777777" w:rsidR="00FF5189" w:rsidRDefault="00FF518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89636783"/>
      <w:docPartObj>
        <w:docPartGallery w:val="Page Numbers (Bottom of Page)"/>
        <w:docPartUnique/>
      </w:docPartObj>
    </w:sdtPr>
    <w:sdtEndPr/>
    <w:sdtContent>
      <w:p w14:paraId="4C69AAAB" w14:textId="77777777" w:rsidR="00FF5189" w:rsidRDefault="00FF5189">
        <w:pPr>
          <w:pStyle w:val="Footer"/>
          <w:jc w:val="right"/>
        </w:pPr>
        <w:r>
          <w:rPr>
            <w:lang w:val="de-DE"/>
          </w:rPr>
          <w:t>2</w:t>
        </w:r>
      </w:p>
    </w:sdtContent>
  </w:sdt>
  <w:p w14:paraId="0CC54AA6" w14:textId="77777777" w:rsidR="00FF5189" w:rsidRDefault="00FF51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D221B1" w14:textId="77777777" w:rsidR="00740FDB" w:rsidRDefault="00740FDB" w:rsidP="0066311D">
      <w:r>
        <w:separator/>
      </w:r>
    </w:p>
  </w:footnote>
  <w:footnote w:type="continuationSeparator" w:id="0">
    <w:p w14:paraId="3E52B22A" w14:textId="77777777" w:rsidR="00740FDB" w:rsidRDefault="00740FDB" w:rsidP="006631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357E"/>
    <w:rsid w:val="000002D8"/>
    <w:rsid w:val="00000CC5"/>
    <w:rsid w:val="00000E27"/>
    <w:rsid w:val="000018BB"/>
    <w:rsid w:val="000019EE"/>
    <w:rsid w:val="00001F81"/>
    <w:rsid w:val="00002039"/>
    <w:rsid w:val="00002359"/>
    <w:rsid w:val="000024CC"/>
    <w:rsid w:val="000027A3"/>
    <w:rsid w:val="00002D7C"/>
    <w:rsid w:val="0000345A"/>
    <w:rsid w:val="00003982"/>
    <w:rsid w:val="00003AB8"/>
    <w:rsid w:val="00003BD6"/>
    <w:rsid w:val="00003E8F"/>
    <w:rsid w:val="00004334"/>
    <w:rsid w:val="00004A43"/>
    <w:rsid w:val="00004A5B"/>
    <w:rsid w:val="00005094"/>
    <w:rsid w:val="00005654"/>
    <w:rsid w:val="000067BA"/>
    <w:rsid w:val="000067BD"/>
    <w:rsid w:val="00006FF0"/>
    <w:rsid w:val="000078BA"/>
    <w:rsid w:val="0001032E"/>
    <w:rsid w:val="00010704"/>
    <w:rsid w:val="00010F25"/>
    <w:rsid w:val="00010F70"/>
    <w:rsid w:val="0001138F"/>
    <w:rsid w:val="00011CA6"/>
    <w:rsid w:val="00011D77"/>
    <w:rsid w:val="00011FA8"/>
    <w:rsid w:val="00011FEA"/>
    <w:rsid w:val="00012065"/>
    <w:rsid w:val="00012195"/>
    <w:rsid w:val="000127F9"/>
    <w:rsid w:val="00012B8D"/>
    <w:rsid w:val="00012CAF"/>
    <w:rsid w:val="00012FDA"/>
    <w:rsid w:val="00013201"/>
    <w:rsid w:val="00013A3F"/>
    <w:rsid w:val="00014511"/>
    <w:rsid w:val="00014A2A"/>
    <w:rsid w:val="00015C0D"/>
    <w:rsid w:val="00015D66"/>
    <w:rsid w:val="00016A5F"/>
    <w:rsid w:val="00017008"/>
    <w:rsid w:val="0002096B"/>
    <w:rsid w:val="000224B7"/>
    <w:rsid w:val="00022536"/>
    <w:rsid w:val="00022C82"/>
    <w:rsid w:val="000230AD"/>
    <w:rsid w:val="00023993"/>
    <w:rsid w:val="000239B8"/>
    <w:rsid w:val="00023D7F"/>
    <w:rsid w:val="000266BD"/>
    <w:rsid w:val="000268BD"/>
    <w:rsid w:val="00026D7C"/>
    <w:rsid w:val="00026E2E"/>
    <w:rsid w:val="00027061"/>
    <w:rsid w:val="00027215"/>
    <w:rsid w:val="000278A3"/>
    <w:rsid w:val="00027E3C"/>
    <w:rsid w:val="00031159"/>
    <w:rsid w:val="000314E7"/>
    <w:rsid w:val="00032A06"/>
    <w:rsid w:val="00033CD6"/>
    <w:rsid w:val="00034373"/>
    <w:rsid w:val="000347D9"/>
    <w:rsid w:val="00034C73"/>
    <w:rsid w:val="00034E83"/>
    <w:rsid w:val="000360A9"/>
    <w:rsid w:val="00036380"/>
    <w:rsid w:val="00036563"/>
    <w:rsid w:val="00036A0A"/>
    <w:rsid w:val="00037412"/>
    <w:rsid w:val="00041062"/>
    <w:rsid w:val="0004212F"/>
    <w:rsid w:val="000423C0"/>
    <w:rsid w:val="000433C7"/>
    <w:rsid w:val="000440EC"/>
    <w:rsid w:val="0004457F"/>
    <w:rsid w:val="000445E6"/>
    <w:rsid w:val="00046774"/>
    <w:rsid w:val="00046D39"/>
    <w:rsid w:val="000470D4"/>
    <w:rsid w:val="000472F7"/>
    <w:rsid w:val="0004756E"/>
    <w:rsid w:val="00047E96"/>
    <w:rsid w:val="000513B4"/>
    <w:rsid w:val="0005143D"/>
    <w:rsid w:val="00051690"/>
    <w:rsid w:val="00052368"/>
    <w:rsid w:val="000530D8"/>
    <w:rsid w:val="000537D5"/>
    <w:rsid w:val="00054507"/>
    <w:rsid w:val="000565B8"/>
    <w:rsid w:val="000576CE"/>
    <w:rsid w:val="00057891"/>
    <w:rsid w:val="000578CE"/>
    <w:rsid w:val="00057F36"/>
    <w:rsid w:val="000606DB"/>
    <w:rsid w:val="00061642"/>
    <w:rsid w:val="00063654"/>
    <w:rsid w:val="00063BF4"/>
    <w:rsid w:val="00063CF6"/>
    <w:rsid w:val="00063E43"/>
    <w:rsid w:val="00064411"/>
    <w:rsid w:val="00065080"/>
    <w:rsid w:val="0006521D"/>
    <w:rsid w:val="00065281"/>
    <w:rsid w:val="00065760"/>
    <w:rsid w:val="00065EA7"/>
    <w:rsid w:val="00065F41"/>
    <w:rsid w:val="000673F7"/>
    <w:rsid w:val="00070467"/>
    <w:rsid w:val="000708DF"/>
    <w:rsid w:val="00070AE0"/>
    <w:rsid w:val="00070BBF"/>
    <w:rsid w:val="000718A7"/>
    <w:rsid w:val="00072739"/>
    <w:rsid w:val="000731A3"/>
    <w:rsid w:val="000734B0"/>
    <w:rsid w:val="0007453A"/>
    <w:rsid w:val="00074ADA"/>
    <w:rsid w:val="00074E94"/>
    <w:rsid w:val="00075840"/>
    <w:rsid w:val="000761D3"/>
    <w:rsid w:val="0007699C"/>
    <w:rsid w:val="000772BE"/>
    <w:rsid w:val="00077A6B"/>
    <w:rsid w:val="00077A70"/>
    <w:rsid w:val="00077CFE"/>
    <w:rsid w:val="00080A40"/>
    <w:rsid w:val="00081C45"/>
    <w:rsid w:val="0008275F"/>
    <w:rsid w:val="00082E1D"/>
    <w:rsid w:val="00083337"/>
    <w:rsid w:val="00083BDF"/>
    <w:rsid w:val="000841D6"/>
    <w:rsid w:val="00084274"/>
    <w:rsid w:val="0008454D"/>
    <w:rsid w:val="000848CB"/>
    <w:rsid w:val="00085070"/>
    <w:rsid w:val="00085B84"/>
    <w:rsid w:val="00086758"/>
    <w:rsid w:val="00086F2B"/>
    <w:rsid w:val="00086FF6"/>
    <w:rsid w:val="00087168"/>
    <w:rsid w:val="0008718E"/>
    <w:rsid w:val="00087254"/>
    <w:rsid w:val="000872E2"/>
    <w:rsid w:val="00087524"/>
    <w:rsid w:val="000904DA"/>
    <w:rsid w:val="00090FE6"/>
    <w:rsid w:val="00091634"/>
    <w:rsid w:val="00091AE0"/>
    <w:rsid w:val="00092A58"/>
    <w:rsid w:val="00092ACE"/>
    <w:rsid w:val="00093103"/>
    <w:rsid w:val="00093657"/>
    <w:rsid w:val="00093B38"/>
    <w:rsid w:val="000942CD"/>
    <w:rsid w:val="000962BB"/>
    <w:rsid w:val="00096806"/>
    <w:rsid w:val="00096AA3"/>
    <w:rsid w:val="00096AC4"/>
    <w:rsid w:val="00096AF1"/>
    <w:rsid w:val="00096E94"/>
    <w:rsid w:val="00097F1C"/>
    <w:rsid w:val="000A14AC"/>
    <w:rsid w:val="000A1826"/>
    <w:rsid w:val="000A1944"/>
    <w:rsid w:val="000A1D2E"/>
    <w:rsid w:val="000A2B96"/>
    <w:rsid w:val="000A3EF2"/>
    <w:rsid w:val="000A4495"/>
    <w:rsid w:val="000A4C4C"/>
    <w:rsid w:val="000A74AA"/>
    <w:rsid w:val="000A77E3"/>
    <w:rsid w:val="000A7A0E"/>
    <w:rsid w:val="000B05B1"/>
    <w:rsid w:val="000B0A8C"/>
    <w:rsid w:val="000B12D0"/>
    <w:rsid w:val="000B1AC6"/>
    <w:rsid w:val="000B2FBC"/>
    <w:rsid w:val="000B3B37"/>
    <w:rsid w:val="000B4A4D"/>
    <w:rsid w:val="000B4CF2"/>
    <w:rsid w:val="000B5A85"/>
    <w:rsid w:val="000B5FEA"/>
    <w:rsid w:val="000B64A1"/>
    <w:rsid w:val="000B6B37"/>
    <w:rsid w:val="000B7985"/>
    <w:rsid w:val="000B7D7D"/>
    <w:rsid w:val="000C0720"/>
    <w:rsid w:val="000C072A"/>
    <w:rsid w:val="000C1238"/>
    <w:rsid w:val="000C17AE"/>
    <w:rsid w:val="000C1A3E"/>
    <w:rsid w:val="000C20A7"/>
    <w:rsid w:val="000C2719"/>
    <w:rsid w:val="000C308F"/>
    <w:rsid w:val="000C35FD"/>
    <w:rsid w:val="000C3DEF"/>
    <w:rsid w:val="000C3EF1"/>
    <w:rsid w:val="000C4C35"/>
    <w:rsid w:val="000C5421"/>
    <w:rsid w:val="000C77C6"/>
    <w:rsid w:val="000D0532"/>
    <w:rsid w:val="000D0AA6"/>
    <w:rsid w:val="000D24A5"/>
    <w:rsid w:val="000D2724"/>
    <w:rsid w:val="000D30B3"/>
    <w:rsid w:val="000D3307"/>
    <w:rsid w:val="000D34CA"/>
    <w:rsid w:val="000D3781"/>
    <w:rsid w:val="000D3B13"/>
    <w:rsid w:val="000D3F50"/>
    <w:rsid w:val="000D4069"/>
    <w:rsid w:val="000D43B8"/>
    <w:rsid w:val="000D4726"/>
    <w:rsid w:val="000D4F47"/>
    <w:rsid w:val="000D5659"/>
    <w:rsid w:val="000D5CA6"/>
    <w:rsid w:val="000D72A1"/>
    <w:rsid w:val="000D75CB"/>
    <w:rsid w:val="000D768B"/>
    <w:rsid w:val="000E0DA6"/>
    <w:rsid w:val="000E13DB"/>
    <w:rsid w:val="000E27FD"/>
    <w:rsid w:val="000E2B0D"/>
    <w:rsid w:val="000E3811"/>
    <w:rsid w:val="000E4708"/>
    <w:rsid w:val="000E5144"/>
    <w:rsid w:val="000E58D3"/>
    <w:rsid w:val="000E5972"/>
    <w:rsid w:val="000E7137"/>
    <w:rsid w:val="000F25EF"/>
    <w:rsid w:val="000F3209"/>
    <w:rsid w:val="000F48C5"/>
    <w:rsid w:val="000F4ADA"/>
    <w:rsid w:val="000F4C33"/>
    <w:rsid w:val="000F4FDB"/>
    <w:rsid w:val="000F53B4"/>
    <w:rsid w:val="000F5725"/>
    <w:rsid w:val="000F57E1"/>
    <w:rsid w:val="000F5A25"/>
    <w:rsid w:val="000F5E38"/>
    <w:rsid w:val="000F6A61"/>
    <w:rsid w:val="000F6C3D"/>
    <w:rsid w:val="000F7553"/>
    <w:rsid w:val="000F7A85"/>
    <w:rsid w:val="000F7E02"/>
    <w:rsid w:val="000F7E40"/>
    <w:rsid w:val="00100A31"/>
    <w:rsid w:val="00101350"/>
    <w:rsid w:val="001017CE"/>
    <w:rsid w:val="00102047"/>
    <w:rsid w:val="00102767"/>
    <w:rsid w:val="00102B52"/>
    <w:rsid w:val="00103F59"/>
    <w:rsid w:val="00104510"/>
    <w:rsid w:val="00104DA9"/>
    <w:rsid w:val="00105003"/>
    <w:rsid w:val="00105232"/>
    <w:rsid w:val="0010611C"/>
    <w:rsid w:val="00106637"/>
    <w:rsid w:val="00106967"/>
    <w:rsid w:val="00106F7C"/>
    <w:rsid w:val="001071E5"/>
    <w:rsid w:val="0010737C"/>
    <w:rsid w:val="00107B53"/>
    <w:rsid w:val="00107F61"/>
    <w:rsid w:val="00110406"/>
    <w:rsid w:val="001107C9"/>
    <w:rsid w:val="00111414"/>
    <w:rsid w:val="001120A8"/>
    <w:rsid w:val="001127AE"/>
    <w:rsid w:val="00112E34"/>
    <w:rsid w:val="0011399E"/>
    <w:rsid w:val="0011427E"/>
    <w:rsid w:val="0011517A"/>
    <w:rsid w:val="0011566D"/>
    <w:rsid w:val="001157AD"/>
    <w:rsid w:val="00115A26"/>
    <w:rsid w:val="00116799"/>
    <w:rsid w:val="00117AA1"/>
    <w:rsid w:val="00120B1A"/>
    <w:rsid w:val="00121596"/>
    <w:rsid w:val="001223DB"/>
    <w:rsid w:val="00122B40"/>
    <w:rsid w:val="00122B6B"/>
    <w:rsid w:val="00122CF6"/>
    <w:rsid w:val="00122F1E"/>
    <w:rsid w:val="00123288"/>
    <w:rsid w:val="001233EC"/>
    <w:rsid w:val="00123474"/>
    <w:rsid w:val="00123DA2"/>
    <w:rsid w:val="00124E7A"/>
    <w:rsid w:val="001253D4"/>
    <w:rsid w:val="001255EE"/>
    <w:rsid w:val="00125C47"/>
    <w:rsid w:val="001276B6"/>
    <w:rsid w:val="00127905"/>
    <w:rsid w:val="00130562"/>
    <w:rsid w:val="001310B0"/>
    <w:rsid w:val="001311C9"/>
    <w:rsid w:val="0013156F"/>
    <w:rsid w:val="00133404"/>
    <w:rsid w:val="001344AB"/>
    <w:rsid w:val="00134711"/>
    <w:rsid w:val="0013530A"/>
    <w:rsid w:val="0013657F"/>
    <w:rsid w:val="00136DF1"/>
    <w:rsid w:val="00137D7C"/>
    <w:rsid w:val="0014052A"/>
    <w:rsid w:val="00140603"/>
    <w:rsid w:val="001406DC"/>
    <w:rsid w:val="001407B0"/>
    <w:rsid w:val="00140FD5"/>
    <w:rsid w:val="001415BD"/>
    <w:rsid w:val="001423F8"/>
    <w:rsid w:val="00142472"/>
    <w:rsid w:val="0014277B"/>
    <w:rsid w:val="00142793"/>
    <w:rsid w:val="001427C6"/>
    <w:rsid w:val="0014293E"/>
    <w:rsid w:val="00142CBC"/>
    <w:rsid w:val="00142EB2"/>
    <w:rsid w:val="00144081"/>
    <w:rsid w:val="001443AC"/>
    <w:rsid w:val="001455CA"/>
    <w:rsid w:val="001459B6"/>
    <w:rsid w:val="00145A99"/>
    <w:rsid w:val="00146285"/>
    <w:rsid w:val="00146508"/>
    <w:rsid w:val="00146CA4"/>
    <w:rsid w:val="00147521"/>
    <w:rsid w:val="001479DB"/>
    <w:rsid w:val="0015054D"/>
    <w:rsid w:val="0015063A"/>
    <w:rsid w:val="001507F1"/>
    <w:rsid w:val="00150D81"/>
    <w:rsid w:val="001512A7"/>
    <w:rsid w:val="001519C9"/>
    <w:rsid w:val="00152B49"/>
    <w:rsid w:val="00153183"/>
    <w:rsid w:val="0015348A"/>
    <w:rsid w:val="00154A5E"/>
    <w:rsid w:val="00154B13"/>
    <w:rsid w:val="00154CD5"/>
    <w:rsid w:val="001557B5"/>
    <w:rsid w:val="00157F19"/>
    <w:rsid w:val="0016034D"/>
    <w:rsid w:val="00160BB7"/>
    <w:rsid w:val="001618F2"/>
    <w:rsid w:val="00161AAD"/>
    <w:rsid w:val="001625F0"/>
    <w:rsid w:val="00162BD9"/>
    <w:rsid w:val="00162D26"/>
    <w:rsid w:val="00163004"/>
    <w:rsid w:val="00164407"/>
    <w:rsid w:val="0016480B"/>
    <w:rsid w:val="00166607"/>
    <w:rsid w:val="001668F9"/>
    <w:rsid w:val="001670E1"/>
    <w:rsid w:val="00167D83"/>
    <w:rsid w:val="00167DF6"/>
    <w:rsid w:val="00167EF5"/>
    <w:rsid w:val="001701C8"/>
    <w:rsid w:val="001704FF"/>
    <w:rsid w:val="0017062B"/>
    <w:rsid w:val="00170659"/>
    <w:rsid w:val="00170837"/>
    <w:rsid w:val="0017188A"/>
    <w:rsid w:val="001723E2"/>
    <w:rsid w:val="0017256D"/>
    <w:rsid w:val="001725D1"/>
    <w:rsid w:val="00173142"/>
    <w:rsid w:val="00173DF4"/>
    <w:rsid w:val="001742B3"/>
    <w:rsid w:val="00174934"/>
    <w:rsid w:val="00174FB3"/>
    <w:rsid w:val="00175982"/>
    <w:rsid w:val="00175B46"/>
    <w:rsid w:val="00175F67"/>
    <w:rsid w:val="00176291"/>
    <w:rsid w:val="001763EC"/>
    <w:rsid w:val="0017682F"/>
    <w:rsid w:val="001770AE"/>
    <w:rsid w:val="00177464"/>
    <w:rsid w:val="00177B80"/>
    <w:rsid w:val="00180020"/>
    <w:rsid w:val="0018093F"/>
    <w:rsid w:val="00180D09"/>
    <w:rsid w:val="00180DDD"/>
    <w:rsid w:val="00181041"/>
    <w:rsid w:val="00181228"/>
    <w:rsid w:val="0018192B"/>
    <w:rsid w:val="001823F2"/>
    <w:rsid w:val="00182B6E"/>
    <w:rsid w:val="00182B7B"/>
    <w:rsid w:val="00183A96"/>
    <w:rsid w:val="001846F1"/>
    <w:rsid w:val="001846F5"/>
    <w:rsid w:val="00184802"/>
    <w:rsid w:val="00185C86"/>
    <w:rsid w:val="00186508"/>
    <w:rsid w:val="00186B34"/>
    <w:rsid w:val="001873D0"/>
    <w:rsid w:val="00190049"/>
    <w:rsid w:val="001902A9"/>
    <w:rsid w:val="001911D9"/>
    <w:rsid w:val="001917E3"/>
    <w:rsid w:val="00191FEF"/>
    <w:rsid w:val="0019244D"/>
    <w:rsid w:val="0019337C"/>
    <w:rsid w:val="001947D3"/>
    <w:rsid w:val="001956FE"/>
    <w:rsid w:val="001957AD"/>
    <w:rsid w:val="00196357"/>
    <w:rsid w:val="00196C63"/>
    <w:rsid w:val="00197F10"/>
    <w:rsid w:val="001A02C0"/>
    <w:rsid w:val="001A0793"/>
    <w:rsid w:val="001A0C6D"/>
    <w:rsid w:val="001A0D57"/>
    <w:rsid w:val="001A1EB1"/>
    <w:rsid w:val="001A28A8"/>
    <w:rsid w:val="001A2A10"/>
    <w:rsid w:val="001A31D4"/>
    <w:rsid w:val="001A352C"/>
    <w:rsid w:val="001A36A7"/>
    <w:rsid w:val="001A430C"/>
    <w:rsid w:val="001A44C3"/>
    <w:rsid w:val="001A4900"/>
    <w:rsid w:val="001A49DD"/>
    <w:rsid w:val="001A4AEB"/>
    <w:rsid w:val="001A56DB"/>
    <w:rsid w:val="001A5777"/>
    <w:rsid w:val="001A6F0A"/>
    <w:rsid w:val="001A74D0"/>
    <w:rsid w:val="001A78D6"/>
    <w:rsid w:val="001A7F5B"/>
    <w:rsid w:val="001B0197"/>
    <w:rsid w:val="001B0245"/>
    <w:rsid w:val="001B0FBB"/>
    <w:rsid w:val="001B1556"/>
    <w:rsid w:val="001B2127"/>
    <w:rsid w:val="001B21A9"/>
    <w:rsid w:val="001B287D"/>
    <w:rsid w:val="001B28BA"/>
    <w:rsid w:val="001B2F12"/>
    <w:rsid w:val="001B3570"/>
    <w:rsid w:val="001B35ED"/>
    <w:rsid w:val="001B3C34"/>
    <w:rsid w:val="001B4055"/>
    <w:rsid w:val="001B410A"/>
    <w:rsid w:val="001B4235"/>
    <w:rsid w:val="001B6408"/>
    <w:rsid w:val="001B7CD2"/>
    <w:rsid w:val="001B7EED"/>
    <w:rsid w:val="001C00DB"/>
    <w:rsid w:val="001C08B2"/>
    <w:rsid w:val="001C2817"/>
    <w:rsid w:val="001C305E"/>
    <w:rsid w:val="001C39E1"/>
    <w:rsid w:val="001C3A2F"/>
    <w:rsid w:val="001C4903"/>
    <w:rsid w:val="001C4A4C"/>
    <w:rsid w:val="001C6009"/>
    <w:rsid w:val="001C60AF"/>
    <w:rsid w:val="001C6F3E"/>
    <w:rsid w:val="001C76CA"/>
    <w:rsid w:val="001C7C81"/>
    <w:rsid w:val="001D0154"/>
    <w:rsid w:val="001D0BED"/>
    <w:rsid w:val="001D1561"/>
    <w:rsid w:val="001D1E8B"/>
    <w:rsid w:val="001D1FA0"/>
    <w:rsid w:val="001D2921"/>
    <w:rsid w:val="001D376C"/>
    <w:rsid w:val="001D3E3C"/>
    <w:rsid w:val="001D4500"/>
    <w:rsid w:val="001D453C"/>
    <w:rsid w:val="001D68AF"/>
    <w:rsid w:val="001E0B0F"/>
    <w:rsid w:val="001E1710"/>
    <w:rsid w:val="001E23BF"/>
    <w:rsid w:val="001E2821"/>
    <w:rsid w:val="001E2AFC"/>
    <w:rsid w:val="001E2D73"/>
    <w:rsid w:val="001E310E"/>
    <w:rsid w:val="001E3F85"/>
    <w:rsid w:val="001E415E"/>
    <w:rsid w:val="001E451C"/>
    <w:rsid w:val="001E5167"/>
    <w:rsid w:val="001E5E5F"/>
    <w:rsid w:val="001E5F0E"/>
    <w:rsid w:val="001E722D"/>
    <w:rsid w:val="001E792D"/>
    <w:rsid w:val="001E7C22"/>
    <w:rsid w:val="001F2BA5"/>
    <w:rsid w:val="001F4237"/>
    <w:rsid w:val="001F443F"/>
    <w:rsid w:val="001F471F"/>
    <w:rsid w:val="001F5423"/>
    <w:rsid w:val="001F5DAC"/>
    <w:rsid w:val="001F5ECB"/>
    <w:rsid w:val="001F60CD"/>
    <w:rsid w:val="001F6C55"/>
    <w:rsid w:val="001F6D26"/>
    <w:rsid w:val="001F6FF0"/>
    <w:rsid w:val="001F7103"/>
    <w:rsid w:val="001F76F9"/>
    <w:rsid w:val="001F7AEA"/>
    <w:rsid w:val="002009A3"/>
    <w:rsid w:val="002010EB"/>
    <w:rsid w:val="00203FDF"/>
    <w:rsid w:val="00204654"/>
    <w:rsid w:val="00204A16"/>
    <w:rsid w:val="002052B7"/>
    <w:rsid w:val="002057B2"/>
    <w:rsid w:val="0020660D"/>
    <w:rsid w:val="002066B8"/>
    <w:rsid w:val="00207358"/>
    <w:rsid w:val="002109CF"/>
    <w:rsid w:val="00210C00"/>
    <w:rsid w:val="002119BD"/>
    <w:rsid w:val="00211F84"/>
    <w:rsid w:val="002121FB"/>
    <w:rsid w:val="002126A2"/>
    <w:rsid w:val="00212FB1"/>
    <w:rsid w:val="00213C70"/>
    <w:rsid w:val="00215527"/>
    <w:rsid w:val="00215A35"/>
    <w:rsid w:val="002163E8"/>
    <w:rsid w:val="0021649B"/>
    <w:rsid w:val="00216513"/>
    <w:rsid w:val="0021685A"/>
    <w:rsid w:val="00216B89"/>
    <w:rsid w:val="00216C5A"/>
    <w:rsid w:val="00217E33"/>
    <w:rsid w:val="00220636"/>
    <w:rsid w:val="00221B8A"/>
    <w:rsid w:val="00221CF3"/>
    <w:rsid w:val="00222C29"/>
    <w:rsid w:val="00223D9B"/>
    <w:rsid w:val="00223F0A"/>
    <w:rsid w:val="002241AF"/>
    <w:rsid w:val="00226115"/>
    <w:rsid w:val="002264EF"/>
    <w:rsid w:val="002267B2"/>
    <w:rsid w:val="0022680A"/>
    <w:rsid w:val="00226938"/>
    <w:rsid w:val="00226F81"/>
    <w:rsid w:val="002277A7"/>
    <w:rsid w:val="002279A3"/>
    <w:rsid w:val="00230FEB"/>
    <w:rsid w:val="00231386"/>
    <w:rsid w:val="002313DC"/>
    <w:rsid w:val="002314DA"/>
    <w:rsid w:val="0023178E"/>
    <w:rsid w:val="00231C51"/>
    <w:rsid w:val="002328AE"/>
    <w:rsid w:val="00232933"/>
    <w:rsid w:val="00234542"/>
    <w:rsid w:val="00234DA5"/>
    <w:rsid w:val="002358F1"/>
    <w:rsid w:val="00237261"/>
    <w:rsid w:val="002376FB"/>
    <w:rsid w:val="00237FAB"/>
    <w:rsid w:val="002400FD"/>
    <w:rsid w:val="002405EB"/>
    <w:rsid w:val="00240D3F"/>
    <w:rsid w:val="00241B6B"/>
    <w:rsid w:val="0024250C"/>
    <w:rsid w:val="002430EB"/>
    <w:rsid w:val="002445DA"/>
    <w:rsid w:val="0024527F"/>
    <w:rsid w:val="002466E8"/>
    <w:rsid w:val="0024764E"/>
    <w:rsid w:val="00250233"/>
    <w:rsid w:val="00250B55"/>
    <w:rsid w:val="0025160F"/>
    <w:rsid w:val="002516BD"/>
    <w:rsid w:val="00251778"/>
    <w:rsid w:val="002519AF"/>
    <w:rsid w:val="00251BAB"/>
    <w:rsid w:val="00252154"/>
    <w:rsid w:val="0025225A"/>
    <w:rsid w:val="00252267"/>
    <w:rsid w:val="002525A2"/>
    <w:rsid w:val="0025346A"/>
    <w:rsid w:val="0025394A"/>
    <w:rsid w:val="0025394E"/>
    <w:rsid w:val="00253FC3"/>
    <w:rsid w:val="002541DE"/>
    <w:rsid w:val="002546B0"/>
    <w:rsid w:val="002549A3"/>
    <w:rsid w:val="00254A62"/>
    <w:rsid w:val="00255FDD"/>
    <w:rsid w:val="0025657E"/>
    <w:rsid w:val="00256766"/>
    <w:rsid w:val="002572B7"/>
    <w:rsid w:val="002575B5"/>
    <w:rsid w:val="00257EE4"/>
    <w:rsid w:val="00260783"/>
    <w:rsid w:val="00260925"/>
    <w:rsid w:val="00260E63"/>
    <w:rsid w:val="002611B6"/>
    <w:rsid w:val="0026184C"/>
    <w:rsid w:val="002642DB"/>
    <w:rsid w:val="00264383"/>
    <w:rsid w:val="00265226"/>
    <w:rsid w:val="002656EA"/>
    <w:rsid w:val="002658A3"/>
    <w:rsid w:val="0026696E"/>
    <w:rsid w:val="00266DA4"/>
    <w:rsid w:val="002674B8"/>
    <w:rsid w:val="002674DA"/>
    <w:rsid w:val="002679B4"/>
    <w:rsid w:val="00270332"/>
    <w:rsid w:val="0027072C"/>
    <w:rsid w:val="00271B84"/>
    <w:rsid w:val="00271D36"/>
    <w:rsid w:val="00272840"/>
    <w:rsid w:val="00272EEE"/>
    <w:rsid w:val="002737F7"/>
    <w:rsid w:val="0027490D"/>
    <w:rsid w:val="00274F4E"/>
    <w:rsid w:val="002753C7"/>
    <w:rsid w:val="00276E07"/>
    <w:rsid w:val="002771FB"/>
    <w:rsid w:val="00277812"/>
    <w:rsid w:val="00280DEB"/>
    <w:rsid w:val="002813C5"/>
    <w:rsid w:val="002817C1"/>
    <w:rsid w:val="002829AC"/>
    <w:rsid w:val="002837EE"/>
    <w:rsid w:val="00283984"/>
    <w:rsid w:val="00283DD9"/>
    <w:rsid w:val="002843A8"/>
    <w:rsid w:val="00284CFC"/>
    <w:rsid w:val="002852C5"/>
    <w:rsid w:val="002853F9"/>
    <w:rsid w:val="0028729E"/>
    <w:rsid w:val="002903E0"/>
    <w:rsid w:val="00291A7E"/>
    <w:rsid w:val="0029327E"/>
    <w:rsid w:val="00293345"/>
    <w:rsid w:val="002938C8"/>
    <w:rsid w:val="00294614"/>
    <w:rsid w:val="00294BE5"/>
    <w:rsid w:val="00296276"/>
    <w:rsid w:val="00296419"/>
    <w:rsid w:val="0029649C"/>
    <w:rsid w:val="00296556"/>
    <w:rsid w:val="00296F70"/>
    <w:rsid w:val="00297905"/>
    <w:rsid w:val="00297986"/>
    <w:rsid w:val="00297E55"/>
    <w:rsid w:val="00297ED6"/>
    <w:rsid w:val="002A04C6"/>
    <w:rsid w:val="002A05F7"/>
    <w:rsid w:val="002A0F7C"/>
    <w:rsid w:val="002A1314"/>
    <w:rsid w:val="002A1460"/>
    <w:rsid w:val="002A191E"/>
    <w:rsid w:val="002A263E"/>
    <w:rsid w:val="002A26E0"/>
    <w:rsid w:val="002A2785"/>
    <w:rsid w:val="002A2AB9"/>
    <w:rsid w:val="002A2FBE"/>
    <w:rsid w:val="002A3603"/>
    <w:rsid w:val="002A43BC"/>
    <w:rsid w:val="002A448A"/>
    <w:rsid w:val="002A4600"/>
    <w:rsid w:val="002A6603"/>
    <w:rsid w:val="002A6A3D"/>
    <w:rsid w:val="002A75A2"/>
    <w:rsid w:val="002A79E0"/>
    <w:rsid w:val="002A7BED"/>
    <w:rsid w:val="002B049D"/>
    <w:rsid w:val="002B0AED"/>
    <w:rsid w:val="002B0AF2"/>
    <w:rsid w:val="002B189F"/>
    <w:rsid w:val="002B1C81"/>
    <w:rsid w:val="002B1CD4"/>
    <w:rsid w:val="002B2334"/>
    <w:rsid w:val="002B3382"/>
    <w:rsid w:val="002B38F7"/>
    <w:rsid w:val="002B4C21"/>
    <w:rsid w:val="002B4DFA"/>
    <w:rsid w:val="002B4FE8"/>
    <w:rsid w:val="002B5216"/>
    <w:rsid w:val="002B52F9"/>
    <w:rsid w:val="002B64EC"/>
    <w:rsid w:val="002B6A69"/>
    <w:rsid w:val="002B6F94"/>
    <w:rsid w:val="002C0649"/>
    <w:rsid w:val="002C0B44"/>
    <w:rsid w:val="002C0C9E"/>
    <w:rsid w:val="002C1757"/>
    <w:rsid w:val="002C29FE"/>
    <w:rsid w:val="002C363A"/>
    <w:rsid w:val="002C373E"/>
    <w:rsid w:val="002C3B6D"/>
    <w:rsid w:val="002C45B7"/>
    <w:rsid w:val="002C463A"/>
    <w:rsid w:val="002C48CE"/>
    <w:rsid w:val="002C4E8B"/>
    <w:rsid w:val="002C52F6"/>
    <w:rsid w:val="002C55DA"/>
    <w:rsid w:val="002C58FE"/>
    <w:rsid w:val="002C5B39"/>
    <w:rsid w:val="002C675D"/>
    <w:rsid w:val="002C6E3C"/>
    <w:rsid w:val="002C778D"/>
    <w:rsid w:val="002D05EA"/>
    <w:rsid w:val="002D0F7E"/>
    <w:rsid w:val="002D0FE9"/>
    <w:rsid w:val="002D283D"/>
    <w:rsid w:val="002D3341"/>
    <w:rsid w:val="002D3745"/>
    <w:rsid w:val="002D3C53"/>
    <w:rsid w:val="002D4335"/>
    <w:rsid w:val="002D46FD"/>
    <w:rsid w:val="002D6D7B"/>
    <w:rsid w:val="002E04AB"/>
    <w:rsid w:val="002E0837"/>
    <w:rsid w:val="002E1721"/>
    <w:rsid w:val="002E1926"/>
    <w:rsid w:val="002E235A"/>
    <w:rsid w:val="002E23F2"/>
    <w:rsid w:val="002E2AC9"/>
    <w:rsid w:val="002E44A0"/>
    <w:rsid w:val="002E4634"/>
    <w:rsid w:val="002E5BED"/>
    <w:rsid w:val="002E5C0F"/>
    <w:rsid w:val="002E674E"/>
    <w:rsid w:val="002E6819"/>
    <w:rsid w:val="002E6CA2"/>
    <w:rsid w:val="002E702E"/>
    <w:rsid w:val="002E70EF"/>
    <w:rsid w:val="002E7134"/>
    <w:rsid w:val="002F0BFD"/>
    <w:rsid w:val="002F196C"/>
    <w:rsid w:val="002F1C2A"/>
    <w:rsid w:val="002F25E8"/>
    <w:rsid w:val="002F2856"/>
    <w:rsid w:val="002F2B90"/>
    <w:rsid w:val="002F3786"/>
    <w:rsid w:val="002F3928"/>
    <w:rsid w:val="002F3AA3"/>
    <w:rsid w:val="002F44BA"/>
    <w:rsid w:val="002F4E48"/>
    <w:rsid w:val="002F6282"/>
    <w:rsid w:val="002F722F"/>
    <w:rsid w:val="002F77AF"/>
    <w:rsid w:val="00300D19"/>
    <w:rsid w:val="00301013"/>
    <w:rsid w:val="003011D4"/>
    <w:rsid w:val="003017AD"/>
    <w:rsid w:val="00301956"/>
    <w:rsid w:val="00301B26"/>
    <w:rsid w:val="0030287D"/>
    <w:rsid w:val="00302A31"/>
    <w:rsid w:val="0030318C"/>
    <w:rsid w:val="003033F6"/>
    <w:rsid w:val="00303809"/>
    <w:rsid w:val="003038D7"/>
    <w:rsid w:val="0030438D"/>
    <w:rsid w:val="00304C0E"/>
    <w:rsid w:val="003051CA"/>
    <w:rsid w:val="003053BB"/>
    <w:rsid w:val="003059AB"/>
    <w:rsid w:val="00306377"/>
    <w:rsid w:val="0030690C"/>
    <w:rsid w:val="00306E79"/>
    <w:rsid w:val="00307499"/>
    <w:rsid w:val="0030790A"/>
    <w:rsid w:val="00307A96"/>
    <w:rsid w:val="00307C3B"/>
    <w:rsid w:val="00307DC9"/>
    <w:rsid w:val="00310C77"/>
    <w:rsid w:val="00311212"/>
    <w:rsid w:val="0031162D"/>
    <w:rsid w:val="00313BA9"/>
    <w:rsid w:val="0031473C"/>
    <w:rsid w:val="003147A8"/>
    <w:rsid w:val="00314862"/>
    <w:rsid w:val="00314C26"/>
    <w:rsid w:val="00315213"/>
    <w:rsid w:val="003152AF"/>
    <w:rsid w:val="003156B4"/>
    <w:rsid w:val="00315712"/>
    <w:rsid w:val="00315824"/>
    <w:rsid w:val="00316185"/>
    <w:rsid w:val="003161EB"/>
    <w:rsid w:val="003166DB"/>
    <w:rsid w:val="003167F5"/>
    <w:rsid w:val="00316894"/>
    <w:rsid w:val="00316FB6"/>
    <w:rsid w:val="00317B81"/>
    <w:rsid w:val="003201C2"/>
    <w:rsid w:val="00320AC3"/>
    <w:rsid w:val="00320DC9"/>
    <w:rsid w:val="00320EDB"/>
    <w:rsid w:val="00320FFE"/>
    <w:rsid w:val="00321F23"/>
    <w:rsid w:val="003222B0"/>
    <w:rsid w:val="003223EE"/>
    <w:rsid w:val="0032267F"/>
    <w:rsid w:val="00322822"/>
    <w:rsid w:val="0032355E"/>
    <w:rsid w:val="003235F0"/>
    <w:rsid w:val="00323D6E"/>
    <w:rsid w:val="00324316"/>
    <w:rsid w:val="00324ABB"/>
    <w:rsid w:val="00324AD4"/>
    <w:rsid w:val="00325634"/>
    <w:rsid w:val="003256A3"/>
    <w:rsid w:val="0032684B"/>
    <w:rsid w:val="00326918"/>
    <w:rsid w:val="00327009"/>
    <w:rsid w:val="003270AD"/>
    <w:rsid w:val="00327ADA"/>
    <w:rsid w:val="003300E3"/>
    <w:rsid w:val="00330186"/>
    <w:rsid w:val="003309C7"/>
    <w:rsid w:val="00330D9A"/>
    <w:rsid w:val="00330FFE"/>
    <w:rsid w:val="003311A4"/>
    <w:rsid w:val="00331A9D"/>
    <w:rsid w:val="003328E0"/>
    <w:rsid w:val="00332CEA"/>
    <w:rsid w:val="003331E5"/>
    <w:rsid w:val="00333335"/>
    <w:rsid w:val="003335BC"/>
    <w:rsid w:val="003343DA"/>
    <w:rsid w:val="00335411"/>
    <w:rsid w:val="0033561D"/>
    <w:rsid w:val="003356C8"/>
    <w:rsid w:val="003357BB"/>
    <w:rsid w:val="003375FA"/>
    <w:rsid w:val="003376B0"/>
    <w:rsid w:val="00337774"/>
    <w:rsid w:val="00337A78"/>
    <w:rsid w:val="00337BB8"/>
    <w:rsid w:val="00337C8A"/>
    <w:rsid w:val="00340154"/>
    <w:rsid w:val="00340DF4"/>
    <w:rsid w:val="00341104"/>
    <w:rsid w:val="003414CA"/>
    <w:rsid w:val="00341B0A"/>
    <w:rsid w:val="00341CB4"/>
    <w:rsid w:val="00342B16"/>
    <w:rsid w:val="00343852"/>
    <w:rsid w:val="00343985"/>
    <w:rsid w:val="00343CCF"/>
    <w:rsid w:val="003449F3"/>
    <w:rsid w:val="00344B7B"/>
    <w:rsid w:val="003461FB"/>
    <w:rsid w:val="003469AE"/>
    <w:rsid w:val="00347E52"/>
    <w:rsid w:val="00350EB8"/>
    <w:rsid w:val="0035181A"/>
    <w:rsid w:val="00351AD9"/>
    <w:rsid w:val="00351E1B"/>
    <w:rsid w:val="00351EF3"/>
    <w:rsid w:val="00352151"/>
    <w:rsid w:val="00352753"/>
    <w:rsid w:val="00352828"/>
    <w:rsid w:val="00352981"/>
    <w:rsid w:val="00352DD2"/>
    <w:rsid w:val="0035430F"/>
    <w:rsid w:val="0035491E"/>
    <w:rsid w:val="00355F20"/>
    <w:rsid w:val="003560E3"/>
    <w:rsid w:val="003568A4"/>
    <w:rsid w:val="00356D90"/>
    <w:rsid w:val="0035779A"/>
    <w:rsid w:val="003607D6"/>
    <w:rsid w:val="00360A50"/>
    <w:rsid w:val="003612B7"/>
    <w:rsid w:val="003613B7"/>
    <w:rsid w:val="00361862"/>
    <w:rsid w:val="003618D1"/>
    <w:rsid w:val="00362F7F"/>
    <w:rsid w:val="003631DA"/>
    <w:rsid w:val="0036328F"/>
    <w:rsid w:val="003632DC"/>
    <w:rsid w:val="00363E54"/>
    <w:rsid w:val="00364101"/>
    <w:rsid w:val="0036413A"/>
    <w:rsid w:val="0036594C"/>
    <w:rsid w:val="00366FE4"/>
    <w:rsid w:val="00367835"/>
    <w:rsid w:val="00370C62"/>
    <w:rsid w:val="0037285C"/>
    <w:rsid w:val="00372DD5"/>
    <w:rsid w:val="003734F6"/>
    <w:rsid w:val="00373719"/>
    <w:rsid w:val="003750C3"/>
    <w:rsid w:val="00377604"/>
    <w:rsid w:val="00377706"/>
    <w:rsid w:val="003804B1"/>
    <w:rsid w:val="00381649"/>
    <w:rsid w:val="00381F53"/>
    <w:rsid w:val="003823CB"/>
    <w:rsid w:val="00383213"/>
    <w:rsid w:val="00383A5E"/>
    <w:rsid w:val="00383BD5"/>
    <w:rsid w:val="00383C77"/>
    <w:rsid w:val="00383C7B"/>
    <w:rsid w:val="0038401C"/>
    <w:rsid w:val="003846AB"/>
    <w:rsid w:val="00384742"/>
    <w:rsid w:val="003860B7"/>
    <w:rsid w:val="00387D34"/>
    <w:rsid w:val="00387E70"/>
    <w:rsid w:val="0039042F"/>
    <w:rsid w:val="003912C1"/>
    <w:rsid w:val="003920D4"/>
    <w:rsid w:val="003928FC"/>
    <w:rsid w:val="00392CDB"/>
    <w:rsid w:val="00393669"/>
    <w:rsid w:val="00393915"/>
    <w:rsid w:val="00393965"/>
    <w:rsid w:val="00393C54"/>
    <w:rsid w:val="00393DE7"/>
    <w:rsid w:val="0039454F"/>
    <w:rsid w:val="00394A66"/>
    <w:rsid w:val="00394FE0"/>
    <w:rsid w:val="00395C38"/>
    <w:rsid w:val="00396ED0"/>
    <w:rsid w:val="0039756A"/>
    <w:rsid w:val="00397CE3"/>
    <w:rsid w:val="003A02E1"/>
    <w:rsid w:val="003A09C9"/>
    <w:rsid w:val="003A0ECA"/>
    <w:rsid w:val="003A10E3"/>
    <w:rsid w:val="003A13DF"/>
    <w:rsid w:val="003A1746"/>
    <w:rsid w:val="003A2828"/>
    <w:rsid w:val="003A3F76"/>
    <w:rsid w:val="003A5D5D"/>
    <w:rsid w:val="003A60EB"/>
    <w:rsid w:val="003A6320"/>
    <w:rsid w:val="003A633A"/>
    <w:rsid w:val="003A6A33"/>
    <w:rsid w:val="003A74D1"/>
    <w:rsid w:val="003A77FB"/>
    <w:rsid w:val="003A7B31"/>
    <w:rsid w:val="003A7C0C"/>
    <w:rsid w:val="003A7C85"/>
    <w:rsid w:val="003B0A94"/>
    <w:rsid w:val="003B105D"/>
    <w:rsid w:val="003B1487"/>
    <w:rsid w:val="003B158C"/>
    <w:rsid w:val="003B172E"/>
    <w:rsid w:val="003B17E3"/>
    <w:rsid w:val="003B1CCD"/>
    <w:rsid w:val="003B2104"/>
    <w:rsid w:val="003B319B"/>
    <w:rsid w:val="003B5EAF"/>
    <w:rsid w:val="003B5F02"/>
    <w:rsid w:val="003B6316"/>
    <w:rsid w:val="003B654A"/>
    <w:rsid w:val="003B6B22"/>
    <w:rsid w:val="003B702F"/>
    <w:rsid w:val="003B76A0"/>
    <w:rsid w:val="003B77DD"/>
    <w:rsid w:val="003C0EE9"/>
    <w:rsid w:val="003C12A9"/>
    <w:rsid w:val="003C1C2B"/>
    <w:rsid w:val="003C20FD"/>
    <w:rsid w:val="003C25F8"/>
    <w:rsid w:val="003C3357"/>
    <w:rsid w:val="003C3CFB"/>
    <w:rsid w:val="003C3D4F"/>
    <w:rsid w:val="003C3EAC"/>
    <w:rsid w:val="003C41A7"/>
    <w:rsid w:val="003C41F4"/>
    <w:rsid w:val="003C5D8E"/>
    <w:rsid w:val="003C7509"/>
    <w:rsid w:val="003D0480"/>
    <w:rsid w:val="003D095C"/>
    <w:rsid w:val="003D0F8A"/>
    <w:rsid w:val="003D1D4D"/>
    <w:rsid w:val="003D27C8"/>
    <w:rsid w:val="003D2823"/>
    <w:rsid w:val="003D441E"/>
    <w:rsid w:val="003D4465"/>
    <w:rsid w:val="003D58BF"/>
    <w:rsid w:val="003D59B6"/>
    <w:rsid w:val="003D5A16"/>
    <w:rsid w:val="003D5A40"/>
    <w:rsid w:val="003D6A4E"/>
    <w:rsid w:val="003D6DBF"/>
    <w:rsid w:val="003D778E"/>
    <w:rsid w:val="003D7FD0"/>
    <w:rsid w:val="003E0213"/>
    <w:rsid w:val="003E0919"/>
    <w:rsid w:val="003E1239"/>
    <w:rsid w:val="003E153F"/>
    <w:rsid w:val="003E1719"/>
    <w:rsid w:val="003E22FD"/>
    <w:rsid w:val="003E250C"/>
    <w:rsid w:val="003E3345"/>
    <w:rsid w:val="003E475A"/>
    <w:rsid w:val="003E4BD7"/>
    <w:rsid w:val="003E4DC2"/>
    <w:rsid w:val="003E5E66"/>
    <w:rsid w:val="003E6315"/>
    <w:rsid w:val="003E669D"/>
    <w:rsid w:val="003E7459"/>
    <w:rsid w:val="003E7783"/>
    <w:rsid w:val="003E7A0F"/>
    <w:rsid w:val="003E7D72"/>
    <w:rsid w:val="003F00F1"/>
    <w:rsid w:val="003F01DB"/>
    <w:rsid w:val="003F025A"/>
    <w:rsid w:val="003F15A0"/>
    <w:rsid w:val="003F185C"/>
    <w:rsid w:val="003F1FB1"/>
    <w:rsid w:val="003F2A68"/>
    <w:rsid w:val="003F442A"/>
    <w:rsid w:val="003F47DA"/>
    <w:rsid w:val="003F4A2B"/>
    <w:rsid w:val="003F58B4"/>
    <w:rsid w:val="003F61BB"/>
    <w:rsid w:val="003F680E"/>
    <w:rsid w:val="003F70D3"/>
    <w:rsid w:val="003F7778"/>
    <w:rsid w:val="003F78BC"/>
    <w:rsid w:val="003F79CE"/>
    <w:rsid w:val="003F7D38"/>
    <w:rsid w:val="004010BC"/>
    <w:rsid w:val="004010EB"/>
    <w:rsid w:val="00401679"/>
    <w:rsid w:val="00402D97"/>
    <w:rsid w:val="004037D0"/>
    <w:rsid w:val="00404145"/>
    <w:rsid w:val="004046C2"/>
    <w:rsid w:val="004048BA"/>
    <w:rsid w:val="004048E7"/>
    <w:rsid w:val="00404DD2"/>
    <w:rsid w:val="004067DE"/>
    <w:rsid w:val="00406F72"/>
    <w:rsid w:val="004070B5"/>
    <w:rsid w:val="0040746F"/>
    <w:rsid w:val="00407AF2"/>
    <w:rsid w:val="004105BE"/>
    <w:rsid w:val="00410671"/>
    <w:rsid w:val="00410E4E"/>
    <w:rsid w:val="00411809"/>
    <w:rsid w:val="00413F53"/>
    <w:rsid w:val="0041430B"/>
    <w:rsid w:val="004143CB"/>
    <w:rsid w:val="00414935"/>
    <w:rsid w:val="00414E6E"/>
    <w:rsid w:val="004154AA"/>
    <w:rsid w:val="004154BF"/>
    <w:rsid w:val="00415A2B"/>
    <w:rsid w:val="00415E4F"/>
    <w:rsid w:val="0041651C"/>
    <w:rsid w:val="00416A15"/>
    <w:rsid w:val="00416BE0"/>
    <w:rsid w:val="004202FC"/>
    <w:rsid w:val="0042047D"/>
    <w:rsid w:val="0042133A"/>
    <w:rsid w:val="004229B8"/>
    <w:rsid w:val="00423340"/>
    <w:rsid w:val="00423DED"/>
    <w:rsid w:val="00426667"/>
    <w:rsid w:val="004267F1"/>
    <w:rsid w:val="0042699F"/>
    <w:rsid w:val="00426C34"/>
    <w:rsid w:val="00426E8A"/>
    <w:rsid w:val="00427789"/>
    <w:rsid w:val="00430931"/>
    <w:rsid w:val="00430D79"/>
    <w:rsid w:val="00430DE1"/>
    <w:rsid w:val="00431283"/>
    <w:rsid w:val="004315A2"/>
    <w:rsid w:val="004319FE"/>
    <w:rsid w:val="00431D25"/>
    <w:rsid w:val="00432605"/>
    <w:rsid w:val="00432FCF"/>
    <w:rsid w:val="004331A8"/>
    <w:rsid w:val="00433AE6"/>
    <w:rsid w:val="00433D2C"/>
    <w:rsid w:val="00434191"/>
    <w:rsid w:val="00434197"/>
    <w:rsid w:val="00434A34"/>
    <w:rsid w:val="00434D26"/>
    <w:rsid w:val="00434E29"/>
    <w:rsid w:val="00435084"/>
    <w:rsid w:val="00435CE0"/>
    <w:rsid w:val="0043771C"/>
    <w:rsid w:val="00437D6A"/>
    <w:rsid w:val="004400A5"/>
    <w:rsid w:val="00440952"/>
    <w:rsid w:val="004411C1"/>
    <w:rsid w:val="004412BF"/>
    <w:rsid w:val="00443F6E"/>
    <w:rsid w:val="004466C6"/>
    <w:rsid w:val="004475D7"/>
    <w:rsid w:val="00447788"/>
    <w:rsid w:val="00447FAA"/>
    <w:rsid w:val="0045256E"/>
    <w:rsid w:val="00452897"/>
    <w:rsid w:val="00453F95"/>
    <w:rsid w:val="00454768"/>
    <w:rsid w:val="00454A9F"/>
    <w:rsid w:val="00454DD7"/>
    <w:rsid w:val="004551C8"/>
    <w:rsid w:val="0045597A"/>
    <w:rsid w:val="00456346"/>
    <w:rsid w:val="004567CD"/>
    <w:rsid w:val="00456B3D"/>
    <w:rsid w:val="00457597"/>
    <w:rsid w:val="00460429"/>
    <w:rsid w:val="00460DF6"/>
    <w:rsid w:val="004622E6"/>
    <w:rsid w:val="00462922"/>
    <w:rsid w:val="0046334A"/>
    <w:rsid w:val="00463D58"/>
    <w:rsid w:val="00464099"/>
    <w:rsid w:val="004649E4"/>
    <w:rsid w:val="004649E9"/>
    <w:rsid w:val="004668D6"/>
    <w:rsid w:val="004678F9"/>
    <w:rsid w:val="0046796A"/>
    <w:rsid w:val="00467D22"/>
    <w:rsid w:val="00470674"/>
    <w:rsid w:val="00470B46"/>
    <w:rsid w:val="004710A7"/>
    <w:rsid w:val="00471D02"/>
    <w:rsid w:val="0047228E"/>
    <w:rsid w:val="00472BD3"/>
    <w:rsid w:val="004731B2"/>
    <w:rsid w:val="00473AEE"/>
    <w:rsid w:val="0047425D"/>
    <w:rsid w:val="00474280"/>
    <w:rsid w:val="00475096"/>
    <w:rsid w:val="00475753"/>
    <w:rsid w:val="00475768"/>
    <w:rsid w:val="00476205"/>
    <w:rsid w:val="00477ED0"/>
    <w:rsid w:val="00480A97"/>
    <w:rsid w:val="0048136D"/>
    <w:rsid w:val="00483999"/>
    <w:rsid w:val="00483C49"/>
    <w:rsid w:val="00485337"/>
    <w:rsid w:val="00485376"/>
    <w:rsid w:val="00485A13"/>
    <w:rsid w:val="00485C73"/>
    <w:rsid w:val="004861EC"/>
    <w:rsid w:val="004868BB"/>
    <w:rsid w:val="00486949"/>
    <w:rsid w:val="00486D8B"/>
    <w:rsid w:val="00490A9E"/>
    <w:rsid w:val="00490D4A"/>
    <w:rsid w:val="004914A5"/>
    <w:rsid w:val="00491940"/>
    <w:rsid w:val="00491B1E"/>
    <w:rsid w:val="004939AC"/>
    <w:rsid w:val="0049416D"/>
    <w:rsid w:val="00494B66"/>
    <w:rsid w:val="00494DCA"/>
    <w:rsid w:val="004956B2"/>
    <w:rsid w:val="00496371"/>
    <w:rsid w:val="00496FD5"/>
    <w:rsid w:val="00497037"/>
    <w:rsid w:val="004973D3"/>
    <w:rsid w:val="0049748D"/>
    <w:rsid w:val="00497C80"/>
    <w:rsid w:val="004A0D8C"/>
    <w:rsid w:val="004A0F2A"/>
    <w:rsid w:val="004A124F"/>
    <w:rsid w:val="004A22FC"/>
    <w:rsid w:val="004A2F6D"/>
    <w:rsid w:val="004A51AF"/>
    <w:rsid w:val="004A57EE"/>
    <w:rsid w:val="004A6555"/>
    <w:rsid w:val="004A6A8B"/>
    <w:rsid w:val="004A75E7"/>
    <w:rsid w:val="004A7720"/>
    <w:rsid w:val="004B20D8"/>
    <w:rsid w:val="004B219C"/>
    <w:rsid w:val="004B279B"/>
    <w:rsid w:val="004B316D"/>
    <w:rsid w:val="004B35A4"/>
    <w:rsid w:val="004B3654"/>
    <w:rsid w:val="004B4137"/>
    <w:rsid w:val="004B4DE6"/>
    <w:rsid w:val="004B4F99"/>
    <w:rsid w:val="004B540F"/>
    <w:rsid w:val="004B60D7"/>
    <w:rsid w:val="004B61EE"/>
    <w:rsid w:val="004B74FE"/>
    <w:rsid w:val="004B7B35"/>
    <w:rsid w:val="004C07F8"/>
    <w:rsid w:val="004C09D8"/>
    <w:rsid w:val="004C1493"/>
    <w:rsid w:val="004C15CD"/>
    <w:rsid w:val="004C1975"/>
    <w:rsid w:val="004C1BF2"/>
    <w:rsid w:val="004C491F"/>
    <w:rsid w:val="004C52D1"/>
    <w:rsid w:val="004C54C3"/>
    <w:rsid w:val="004C5FAD"/>
    <w:rsid w:val="004C746F"/>
    <w:rsid w:val="004C7E9B"/>
    <w:rsid w:val="004D0175"/>
    <w:rsid w:val="004D06F1"/>
    <w:rsid w:val="004D10E9"/>
    <w:rsid w:val="004D1127"/>
    <w:rsid w:val="004D1A83"/>
    <w:rsid w:val="004D21F4"/>
    <w:rsid w:val="004D2822"/>
    <w:rsid w:val="004D2994"/>
    <w:rsid w:val="004D2A80"/>
    <w:rsid w:val="004D2CF8"/>
    <w:rsid w:val="004D4212"/>
    <w:rsid w:val="004D4766"/>
    <w:rsid w:val="004D5830"/>
    <w:rsid w:val="004D6310"/>
    <w:rsid w:val="004E0299"/>
    <w:rsid w:val="004E0703"/>
    <w:rsid w:val="004E0A1E"/>
    <w:rsid w:val="004E0DB1"/>
    <w:rsid w:val="004E0F3A"/>
    <w:rsid w:val="004E1CC5"/>
    <w:rsid w:val="004E2482"/>
    <w:rsid w:val="004E3923"/>
    <w:rsid w:val="004E3C96"/>
    <w:rsid w:val="004E44FD"/>
    <w:rsid w:val="004E4A8A"/>
    <w:rsid w:val="004E4D12"/>
    <w:rsid w:val="004E51E4"/>
    <w:rsid w:val="004E55A7"/>
    <w:rsid w:val="004E67E6"/>
    <w:rsid w:val="004E7321"/>
    <w:rsid w:val="004E7526"/>
    <w:rsid w:val="004E7B7F"/>
    <w:rsid w:val="004F036B"/>
    <w:rsid w:val="004F0F52"/>
    <w:rsid w:val="004F1ED6"/>
    <w:rsid w:val="004F2373"/>
    <w:rsid w:val="004F29DA"/>
    <w:rsid w:val="004F2EF7"/>
    <w:rsid w:val="004F2F35"/>
    <w:rsid w:val="004F4207"/>
    <w:rsid w:val="004F5199"/>
    <w:rsid w:val="004F5499"/>
    <w:rsid w:val="004F5563"/>
    <w:rsid w:val="004F62C0"/>
    <w:rsid w:val="004F6B2B"/>
    <w:rsid w:val="004F7201"/>
    <w:rsid w:val="005001D2"/>
    <w:rsid w:val="00501134"/>
    <w:rsid w:val="00501C0C"/>
    <w:rsid w:val="00502945"/>
    <w:rsid w:val="00502EAA"/>
    <w:rsid w:val="005032E0"/>
    <w:rsid w:val="00503336"/>
    <w:rsid w:val="005034B9"/>
    <w:rsid w:val="005039F4"/>
    <w:rsid w:val="00504AF5"/>
    <w:rsid w:val="00504F2C"/>
    <w:rsid w:val="0050502C"/>
    <w:rsid w:val="00505C46"/>
    <w:rsid w:val="00505D1C"/>
    <w:rsid w:val="00506D30"/>
    <w:rsid w:val="005078AA"/>
    <w:rsid w:val="0051051A"/>
    <w:rsid w:val="00511188"/>
    <w:rsid w:val="00511BF8"/>
    <w:rsid w:val="00512582"/>
    <w:rsid w:val="00512D9A"/>
    <w:rsid w:val="00512E65"/>
    <w:rsid w:val="005134C4"/>
    <w:rsid w:val="005134EF"/>
    <w:rsid w:val="00514176"/>
    <w:rsid w:val="00514FDA"/>
    <w:rsid w:val="005157F3"/>
    <w:rsid w:val="00515B12"/>
    <w:rsid w:val="00515E2F"/>
    <w:rsid w:val="00516805"/>
    <w:rsid w:val="00516924"/>
    <w:rsid w:val="005175EC"/>
    <w:rsid w:val="00517A6D"/>
    <w:rsid w:val="00517BAA"/>
    <w:rsid w:val="00520383"/>
    <w:rsid w:val="005207D8"/>
    <w:rsid w:val="00521597"/>
    <w:rsid w:val="00522184"/>
    <w:rsid w:val="00522822"/>
    <w:rsid w:val="00522A1A"/>
    <w:rsid w:val="005231E4"/>
    <w:rsid w:val="00524448"/>
    <w:rsid w:val="00524550"/>
    <w:rsid w:val="005251CD"/>
    <w:rsid w:val="005258A6"/>
    <w:rsid w:val="00525B4C"/>
    <w:rsid w:val="00526593"/>
    <w:rsid w:val="00526982"/>
    <w:rsid w:val="00526BDD"/>
    <w:rsid w:val="00526E02"/>
    <w:rsid w:val="00527983"/>
    <w:rsid w:val="005321EA"/>
    <w:rsid w:val="0053226F"/>
    <w:rsid w:val="00532E83"/>
    <w:rsid w:val="00533A30"/>
    <w:rsid w:val="0053414E"/>
    <w:rsid w:val="005348C4"/>
    <w:rsid w:val="00535318"/>
    <w:rsid w:val="00535711"/>
    <w:rsid w:val="00535A5B"/>
    <w:rsid w:val="00535CED"/>
    <w:rsid w:val="00536892"/>
    <w:rsid w:val="00536B3E"/>
    <w:rsid w:val="00536FD9"/>
    <w:rsid w:val="0054048C"/>
    <w:rsid w:val="005405A5"/>
    <w:rsid w:val="00540C38"/>
    <w:rsid w:val="005411FD"/>
    <w:rsid w:val="0054274F"/>
    <w:rsid w:val="005436D8"/>
    <w:rsid w:val="0054391D"/>
    <w:rsid w:val="00543F50"/>
    <w:rsid w:val="005447DA"/>
    <w:rsid w:val="00544E5D"/>
    <w:rsid w:val="00546C14"/>
    <w:rsid w:val="005479DA"/>
    <w:rsid w:val="005519DC"/>
    <w:rsid w:val="00552DA7"/>
    <w:rsid w:val="005550E8"/>
    <w:rsid w:val="00555A33"/>
    <w:rsid w:val="00556E13"/>
    <w:rsid w:val="0055748B"/>
    <w:rsid w:val="005577A3"/>
    <w:rsid w:val="0056035E"/>
    <w:rsid w:val="00560884"/>
    <w:rsid w:val="00560965"/>
    <w:rsid w:val="00561962"/>
    <w:rsid w:val="00561ABF"/>
    <w:rsid w:val="00561DB8"/>
    <w:rsid w:val="00561FE6"/>
    <w:rsid w:val="00562107"/>
    <w:rsid w:val="005621E8"/>
    <w:rsid w:val="00564BEF"/>
    <w:rsid w:val="00564F18"/>
    <w:rsid w:val="005729B8"/>
    <w:rsid w:val="00574102"/>
    <w:rsid w:val="0057443B"/>
    <w:rsid w:val="005746C3"/>
    <w:rsid w:val="00574FF9"/>
    <w:rsid w:val="0057571D"/>
    <w:rsid w:val="0057597A"/>
    <w:rsid w:val="00577B4C"/>
    <w:rsid w:val="00580115"/>
    <w:rsid w:val="00580316"/>
    <w:rsid w:val="00581E74"/>
    <w:rsid w:val="0058278E"/>
    <w:rsid w:val="0058378E"/>
    <w:rsid w:val="0058384A"/>
    <w:rsid w:val="00584761"/>
    <w:rsid w:val="00584E67"/>
    <w:rsid w:val="0058530D"/>
    <w:rsid w:val="005864F3"/>
    <w:rsid w:val="00587A44"/>
    <w:rsid w:val="00587BD7"/>
    <w:rsid w:val="005901BB"/>
    <w:rsid w:val="0059023A"/>
    <w:rsid w:val="00590B01"/>
    <w:rsid w:val="00593093"/>
    <w:rsid w:val="005936D2"/>
    <w:rsid w:val="005939BB"/>
    <w:rsid w:val="0059418E"/>
    <w:rsid w:val="005946E3"/>
    <w:rsid w:val="0059470B"/>
    <w:rsid w:val="00594ABF"/>
    <w:rsid w:val="00594D3C"/>
    <w:rsid w:val="00596195"/>
    <w:rsid w:val="005971AA"/>
    <w:rsid w:val="005971C6"/>
    <w:rsid w:val="00597625"/>
    <w:rsid w:val="005A0574"/>
    <w:rsid w:val="005A0C91"/>
    <w:rsid w:val="005A1598"/>
    <w:rsid w:val="005A1C15"/>
    <w:rsid w:val="005A2367"/>
    <w:rsid w:val="005A2A8F"/>
    <w:rsid w:val="005A2F71"/>
    <w:rsid w:val="005A35EF"/>
    <w:rsid w:val="005A38B3"/>
    <w:rsid w:val="005A3CEE"/>
    <w:rsid w:val="005A3F03"/>
    <w:rsid w:val="005A440E"/>
    <w:rsid w:val="005A4A6E"/>
    <w:rsid w:val="005A5684"/>
    <w:rsid w:val="005A58C3"/>
    <w:rsid w:val="005A5A99"/>
    <w:rsid w:val="005A6108"/>
    <w:rsid w:val="005A7A4A"/>
    <w:rsid w:val="005B0152"/>
    <w:rsid w:val="005B0335"/>
    <w:rsid w:val="005B125E"/>
    <w:rsid w:val="005B1D08"/>
    <w:rsid w:val="005B2ACF"/>
    <w:rsid w:val="005B3DB2"/>
    <w:rsid w:val="005B4343"/>
    <w:rsid w:val="005B4BEA"/>
    <w:rsid w:val="005B4C77"/>
    <w:rsid w:val="005B4E67"/>
    <w:rsid w:val="005B4EF5"/>
    <w:rsid w:val="005B53C6"/>
    <w:rsid w:val="005B564C"/>
    <w:rsid w:val="005B5904"/>
    <w:rsid w:val="005B6A83"/>
    <w:rsid w:val="005B6BFD"/>
    <w:rsid w:val="005B6F6C"/>
    <w:rsid w:val="005B7058"/>
    <w:rsid w:val="005B76E6"/>
    <w:rsid w:val="005B7960"/>
    <w:rsid w:val="005B7AB1"/>
    <w:rsid w:val="005B7E87"/>
    <w:rsid w:val="005C0089"/>
    <w:rsid w:val="005C01D7"/>
    <w:rsid w:val="005C039F"/>
    <w:rsid w:val="005C09B2"/>
    <w:rsid w:val="005C12E9"/>
    <w:rsid w:val="005C1640"/>
    <w:rsid w:val="005C1FD9"/>
    <w:rsid w:val="005C22F4"/>
    <w:rsid w:val="005C24BA"/>
    <w:rsid w:val="005C2753"/>
    <w:rsid w:val="005C2B43"/>
    <w:rsid w:val="005C305E"/>
    <w:rsid w:val="005C40E7"/>
    <w:rsid w:val="005C450F"/>
    <w:rsid w:val="005C49DE"/>
    <w:rsid w:val="005C4B00"/>
    <w:rsid w:val="005C53D5"/>
    <w:rsid w:val="005C617C"/>
    <w:rsid w:val="005C633A"/>
    <w:rsid w:val="005C6A5C"/>
    <w:rsid w:val="005C6A95"/>
    <w:rsid w:val="005C6F3F"/>
    <w:rsid w:val="005C7BDE"/>
    <w:rsid w:val="005D06B1"/>
    <w:rsid w:val="005D0C4C"/>
    <w:rsid w:val="005D1DFF"/>
    <w:rsid w:val="005D2542"/>
    <w:rsid w:val="005D2740"/>
    <w:rsid w:val="005D2949"/>
    <w:rsid w:val="005D2C39"/>
    <w:rsid w:val="005D3425"/>
    <w:rsid w:val="005D3749"/>
    <w:rsid w:val="005D4A7D"/>
    <w:rsid w:val="005D52C1"/>
    <w:rsid w:val="005D605B"/>
    <w:rsid w:val="005D6690"/>
    <w:rsid w:val="005D774D"/>
    <w:rsid w:val="005D7883"/>
    <w:rsid w:val="005E0645"/>
    <w:rsid w:val="005E0961"/>
    <w:rsid w:val="005E0C7C"/>
    <w:rsid w:val="005E180D"/>
    <w:rsid w:val="005E1C93"/>
    <w:rsid w:val="005E1DC8"/>
    <w:rsid w:val="005E1FC3"/>
    <w:rsid w:val="005E22F1"/>
    <w:rsid w:val="005E239E"/>
    <w:rsid w:val="005E2B93"/>
    <w:rsid w:val="005E3388"/>
    <w:rsid w:val="005E43F4"/>
    <w:rsid w:val="005E4931"/>
    <w:rsid w:val="005E4B90"/>
    <w:rsid w:val="005E522F"/>
    <w:rsid w:val="005E5261"/>
    <w:rsid w:val="005E5B7A"/>
    <w:rsid w:val="005E5E18"/>
    <w:rsid w:val="005E5F9F"/>
    <w:rsid w:val="005E67ED"/>
    <w:rsid w:val="005E71C6"/>
    <w:rsid w:val="005E7548"/>
    <w:rsid w:val="005F0135"/>
    <w:rsid w:val="005F07DB"/>
    <w:rsid w:val="005F1103"/>
    <w:rsid w:val="005F12C2"/>
    <w:rsid w:val="005F12E8"/>
    <w:rsid w:val="005F14BB"/>
    <w:rsid w:val="005F1C81"/>
    <w:rsid w:val="005F265D"/>
    <w:rsid w:val="005F359B"/>
    <w:rsid w:val="005F3690"/>
    <w:rsid w:val="005F3C2B"/>
    <w:rsid w:val="005F4284"/>
    <w:rsid w:val="005F4B76"/>
    <w:rsid w:val="005F5514"/>
    <w:rsid w:val="005F592F"/>
    <w:rsid w:val="005F5ACD"/>
    <w:rsid w:val="005F5C0F"/>
    <w:rsid w:val="005F6640"/>
    <w:rsid w:val="005F7F24"/>
    <w:rsid w:val="006011F7"/>
    <w:rsid w:val="00601B80"/>
    <w:rsid w:val="00601DEB"/>
    <w:rsid w:val="00602127"/>
    <w:rsid w:val="0060261E"/>
    <w:rsid w:val="00602A5A"/>
    <w:rsid w:val="0060306C"/>
    <w:rsid w:val="00604A8A"/>
    <w:rsid w:val="00605710"/>
    <w:rsid w:val="0060582B"/>
    <w:rsid w:val="00605C9F"/>
    <w:rsid w:val="00606604"/>
    <w:rsid w:val="00606EBD"/>
    <w:rsid w:val="006070FA"/>
    <w:rsid w:val="006071B0"/>
    <w:rsid w:val="0060724A"/>
    <w:rsid w:val="006109B1"/>
    <w:rsid w:val="0061333C"/>
    <w:rsid w:val="00613542"/>
    <w:rsid w:val="00613B45"/>
    <w:rsid w:val="00614C05"/>
    <w:rsid w:val="00614C0D"/>
    <w:rsid w:val="00614CBC"/>
    <w:rsid w:val="006155C5"/>
    <w:rsid w:val="006160FF"/>
    <w:rsid w:val="0061695D"/>
    <w:rsid w:val="006179FC"/>
    <w:rsid w:val="00620012"/>
    <w:rsid w:val="006201D9"/>
    <w:rsid w:val="00621253"/>
    <w:rsid w:val="00622798"/>
    <w:rsid w:val="00623B83"/>
    <w:rsid w:val="00623CDF"/>
    <w:rsid w:val="006244B0"/>
    <w:rsid w:val="00624678"/>
    <w:rsid w:val="0062494B"/>
    <w:rsid w:val="00625378"/>
    <w:rsid w:val="006268F5"/>
    <w:rsid w:val="00626990"/>
    <w:rsid w:val="00627C51"/>
    <w:rsid w:val="006306C5"/>
    <w:rsid w:val="0063082D"/>
    <w:rsid w:val="00632004"/>
    <w:rsid w:val="00632E5B"/>
    <w:rsid w:val="00632EBB"/>
    <w:rsid w:val="006336E4"/>
    <w:rsid w:val="006340B7"/>
    <w:rsid w:val="0063453F"/>
    <w:rsid w:val="00634650"/>
    <w:rsid w:val="00634BE2"/>
    <w:rsid w:val="006358D1"/>
    <w:rsid w:val="006402B0"/>
    <w:rsid w:val="00640546"/>
    <w:rsid w:val="00640804"/>
    <w:rsid w:val="0064090B"/>
    <w:rsid w:val="00640BE4"/>
    <w:rsid w:val="00641391"/>
    <w:rsid w:val="00642669"/>
    <w:rsid w:val="006432EE"/>
    <w:rsid w:val="00644F97"/>
    <w:rsid w:val="006460E1"/>
    <w:rsid w:val="0064667D"/>
    <w:rsid w:val="00646875"/>
    <w:rsid w:val="00647606"/>
    <w:rsid w:val="006477AC"/>
    <w:rsid w:val="00647E8F"/>
    <w:rsid w:val="0065013B"/>
    <w:rsid w:val="0065014A"/>
    <w:rsid w:val="00651395"/>
    <w:rsid w:val="00651827"/>
    <w:rsid w:val="00651FE6"/>
    <w:rsid w:val="006522EE"/>
    <w:rsid w:val="00653612"/>
    <w:rsid w:val="0065372F"/>
    <w:rsid w:val="00653B26"/>
    <w:rsid w:val="00653C5F"/>
    <w:rsid w:val="00653FBD"/>
    <w:rsid w:val="006541F1"/>
    <w:rsid w:val="00654723"/>
    <w:rsid w:val="00654EFE"/>
    <w:rsid w:val="0065500B"/>
    <w:rsid w:val="006550A2"/>
    <w:rsid w:val="0065572A"/>
    <w:rsid w:val="0065593D"/>
    <w:rsid w:val="006562C0"/>
    <w:rsid w:val="006565A8"/>
    <w:rsid w:val="00656C1B"/>
    <w:rsid w:val="006571ED"/>
    <w:rsid w:val="00657357"/>
    <w:rsid w:val="006574F0"/>
    <w:rsid w:val="006576A0"/>
    <w:rsid w:val="00660CF1"/>
    <w:rsid w:val="00660D28"/>
    <w:rsid w:val="006614EF"/>
    <w:rsid w:val="0066292A"/>
    <w:rsid w:val="0066311D"/>
    <w:rsid w:val="00663359"/>
    <w:rsid w:val="00664A91"/>
    <w:rsid w:val="0066530C"/>
    <w:rsid w:val="00665327"/>
    <w:rsid w:val="00665390"/>
    <w:rsid w:val="006657FB"/>
    <w:rsid w:val="006658CD"/>
    <w:rsid w:val="006661C4"/>
    <w:rsid w:val="00666793"/>
    <w:rsid w:val="006668A9"/>
    <w:rsid w:val="0067010E"/>
    <w:rsid w:val="00670B54"/>
    <w:rsid w:val="0067153F"/>
    <w:rsid w:val="00671DE7"/>
    <w:rsid w:val="00672A55"/>
    <w:rsid w:val="00672BC2"/>
    <w:rsid w:val="0067365B"/>
    <w:rsid w:val="006736FA"/>
    <w:rsid w:val="00673BF3"/>
    <w:rsid w:val="00674DFC"/>
    <w:rsid w:val="00674EDA"/>
    <w:rsid w:val="00674EF5"/>
    <w:rsid w:val="006757F6"/>
    <w:rsid w:val="00675EE8"/>
    <w:rsid w:val="00676408"/>
    <w:rsid w:val="00677AD6"/>
    <w:rsid w:val="00680723"/>
    <w:rsid w:val="00680B21"/>
    <w:rsid w:val="00680B52"/>
    <w:rsid w:val="00681125"/>
    <w:rsid w:val="0068230F"/>
    <w:rsid w:val="006829EE"/>
    <w:rsid w:val="00685158"/>
    <w:rsid w:val="00685A12"/>
    <w:rsid w:val="00685F12"/>
    <w:rsid w:val="0068628C"/>
    <w:rsid w:val="00686D86"/>
    <w:rsid w:val="006876F6"/>
    <w:rsid w:val="00687C2D"/>
    <w:rsid w:val="006904F5"/>
    <w:rsid w:val="00691168"/>
    <w:rsid w:val="00691EA8"/>
    <w:rsid w:val="00693A46"/>
    <w:rsid w:val="00693E41"/>
    <w:rsid w:val="0069457E"/>
    <w:rsid w:val="0069492E"/>
    <w:rsid w:val="00696FD7"/>
    <w:rsid w:val="00697DE6"/>
    <w:rsid w:val="006A0160"/>
    <w:rsid w:val="006A01EC"/>
    <w:rsid w:val="006A2439"/>
    <w:rsid w:val="006A41F2"/>
    <w:rsid w:val="006A49FB"/>
    <w:rsid w:val="006A4C47"/>
    <w:rsid w:val="006A57AE"/>
    <w:rsid w:val="006A5D3C"/>
    <w:rsid w:val="006A62CE"/>
    <w:rsid w:val="006A7F22"/>
    <w:rsid w:val="006A7F9A"/>
    <w:rsid w:val="006B04E7"/>
    <w:rsid w:val="006B0B83"/>
    <w:rsid w:val="006B170C"/>
    <w:rsid w:val="006B17FF"/>
    <w:rsid w:val="006B1E76"/>
    <w:rsid w:val="006B2AAF"/>
    <w:rsid w:val="006B2D7F"/>
    <w:rsid w:val="006B2E9F"/>
    <w:rsid w:val="006B3A36"/>
    <w:rsid w:val="006B3A51"/>
    <w:rsid w:val="006B3F0C"/>
    <w:rsid w:val="006B46CB"/>
    <w:rsid w:val="006B46FF"/>
    <w:rsid w:val="006B5A50"/>
    <w:rsid w:val="006B5F09"/>
    <w:rsid w:val="006B623B"/>
    <w:rsid w:val="006B6B4F"/>
    <w:rsid w:val="006C0735"/>
    <w:rsid w:val="006C0AD5"/>
    <w:rsid w:val="006C0DDC"/>
    <w:rsid w:val="006C1D0D"/>
    <w:rsid w:val="006C26A2"/>
    <w:rsid w:val="006C2D7C"/>
    <w:rsid w:val="006C357E"/>
    <w:rsid w:val="006C4161"/>
    <w:rsid w:val="006C474E"/>
    <w:rsid w:val="006C4794"/>
    <w:rsid w:val="006C55E8"/>
    <w:rsid w:val="006C5D80"/>
    <w:rsid w:val="006C6EB6"/>
    <w:rsid w:val="006C7146"/>
    <w:rsid w:val="006D065E"/>
    <w:rsid w:val="006D0B3E"/>
    <w:rsid w:val="006D1257"/>
    <w:rsid w:val="006D1908"/>
    <w:rsid w:val="006D19B0"/>
    <w:rsid w:val="006D335F"/>
    <w:rsid w:val="006D344C"/>
    <w:rsid w:val="006D360A"/>
    <w:rsid w:val="006D5A07"/>
    <w:rsid w:val="006D5FD0"/>
    <w:rsid w:val="006D63CF"/>
    <w:rsid w:val="006D6B59"/>
    <w:rsid w:val="006D6E69"/>
    <w:rsid w:val="006D7190"/>
    <w:rsid w:val="006D7272"/>
    <w:rsid w:val="006D730C"/>
    <w:rsid w:val="006D736E"/>
    <w:rsid w:val="006E1132"/>
    <w:rsid w:val="006E174F"/>
    <w:rsid w:val="006E1A06"/>
    <w:rsid w:val="006E1E21"/>
    <w:rsid w:val="006E29D0"/>
    <w:rsid w:val="006E2C0A"/>
    <w:rsid w:val="006E33D6"/>
    <w:rsid w:val="006E38F6"/>
    <w:rsid w:val="006E3F40"/>
    <w:rsid w:val="006E41EC"/>
    <w:rsid w:val="006E4A50"/>
    <w:rsid w:val="006E4BF7"/>
    <w:rsid w:val="006E55B8"/>
    <w:rsid w:val="006E6A8C"/>
    <w:rsid w:val="006E7AB7"/>
    <w:rsid w:val="006F0552"/>
    <w:rsid w:val="006F06CD"/>
    <w:rsid w:val="006F142B"/>
    <w:rsid w:val="006F1A09"/>
    <w:rsid w:val="006F22F9"/>
    <w:rsid w:val="006F2361"/>
    <w:rsid w:val="006F2617"/>
    <w:rsid w:val="006F2DF3"/>
    <w:rsid w:val="006F3B47"/>
    <w:rsid w:val="006F4D62"/>
    <w:rsid w:val="006F5DFF"/>
    <w:rsid w:val="006F5ECB"/>
    <w:rsid w:val="006F6246"/>
    <w:rsid w:val="006F646E"/>
    <w:rsid w:val="006F6DC4"/>
    <w:rsid w:val="006F6FDF"/>
    <w:rsid w:val="006F70B7"/>
    <w:rsid w:val="006F7B35"/>
    <w:rsid w:val="006F7D10"/>
    <w:rsid w:val="006F7F20"/>
    <w:rsid w:val="00700A8F"/>
    <w:rsid w:val="00700E9D"/>
    <w:rsid w:val="0070259C"/>
    <w:rsid w:val="00702624"/>
    <w:rsid w:val="00702CD9"/>
    <w:rsid w:val="00703D22"/>
    <w:rsid w:val="00703E9C"/>
    <w:rsid w:val="0070412B"/>
    <w:rsid w:val="00704242"/>
    <w:rsid w:val="00705CBB"/>
    <w:rsid w:val="00705D95"/>
    <w:rsid w:val="00706BD3"/>
    <w:rsid w:val="00707CC3"/>
    <w:rsid w:val="007101EB"/>
    <w:rsid w:val="00710FBA"/>
    <w:rsid w:val="00711B6D"/>
    <w:rsid w:val="00711C79"/>
    <w:rsid w:val="00711FFD"/>
    <w:rsid w:val="007133E0"/>
    <w:rsid w:val="00713CDE"/>
    <w:rsid w:val="00714D77"/>
    <w:rsid w:val="0071535C"/>
    <w:rsid w:val="00715570"/>
    <w:rsid w:val="00715609"/>
    <w:rsid w:val="00716030"/>
    <w:rsid w:val="00717614"/>
    <w:rsid w:val="0071787C"/>
    <w:rsid w:val="0072096C"/>
    <w:rsid w:val="00720ED1"/>
    <w:rsid w:val="00720F12"/>
    <w:rsid w:val="00721056"/>
    <w:rsid w:val="007213D0"/>
    <w:rsid w:val="00722212"/>
    <w:rsid w:val="00722D53"/>
    <w:rsid w:val="00723F5D"/>
    <w:rsid w:val="00724A3A"/>
    <w:rsid w:val="00724D6F"/>
    <w:rsid w:val="00725B29"/>
    <w:rsid w:val="00725C2D"/>
    <w:rsid w:val="00725D08"/>
    <w:rsid w:val="00725ECE"/>
    <w:rsid w:val="007262DC"/>
    <w:rsid w:val="007267BA"/>
    <w:rsid w:val="0073013D"/>
    <w:rsid w:val="007312CC"/>
    <w:rsid w:val="0073156A"/>
    <w:rsid w:val="00732C19"/>
    <w:rsid w:val="00732E25"/>
    <w:rsid w:val="0073396F"/>
    <w:rsid w:val="00733A79"/>
    <w:rsid w:val="00733ED7"/>
    <w:rsid w:val="007340BD"/>
    <w:rsid w:val="007342E9"/>
    <w:rsid w:val="007348E0"/>
    <w:rsid w:val="00735BE6"/>
    <w:rsid w:val="00735F16"/>
    <w:rsid w:val="0073635E"/>
    <w:rsid w:val="0073676C"/>
    <w:rsid w:val="00737178"/>
    <w:rsid w:val="0073725E"/>
    <w:rsid w:val="0073783A"/>
    <w:rsid w:val="00737AC7"/>
    <w:rsid w:val="00740FDB"/>
    <w:rsid w:val="00741643"/>
    <w:rsid w:val="007425FF"/>
    <w:rsid w:val="00742892"/>
    <w:rsid w:val="00742AA7"/>
    <w:rsid w:val="007430BD"/>
    <w:rsid w:val="00744C36"/>
    <w:rsid w:val="00744E80"/>
    <w:rsid w:val="007451F8"/>
    <w:rsid w:val="007456E9"/>
    <w:rsid w:val="0074755D"/>
    <w:rsid w:val="00747BEC"/>
    <w:rsid w:val="00747DD5"/>
    <w:rsid w:val="0075048E"/>
    <w:rsid w:val="0075081E"/>
    <w:rsid w:val="00751298"/>
    <w:rsid w:val="0075220D"/>
    <w:rsid w:val="00752498"/>
    <w:rsid w:val="0075327C"/>
    <w:rsid w:val="00753291"/>
    <w:rsid w:val="007532A2"/>
    <w:rsid w:val="0075370D"/>
    <w:rsid w:val="00753C45"/>
    <w:rsid w:val="00753E1C"/>
    <w:rsid w:val="007544E9"/>
    <w:rsid w:val="00754616"/>
    <w:rsid w:val="0075469E"/>
    <w:rsid w:val="00754C3D"/>
    <w:rsid w:val="00754EA2"/>
    <w:rsid w:val="007555D4"/>
    <w:rsid w:val="00755CCF"/>
    <w:rsid w:val="007560DC"/>
    <w:rsid w:val="00756211"/>
    <w:rsid w:val="00757087"/>
    <w:rsid w:val="00757AD8"/>
    <w:rsid w:val="007602F0"/>
    <w:rsid w:val="00760A99"/>
    <w:rsid w:val="00761C30"/>
    <w:rsid w:val="0076283C"/>
    <w:rsid w:val="00762AA9"/>
    <w:rsid w:val="00763085"/>
    <w:rsid w:val="007632A6"/>
    <w:rsid w:val="007638FD"/>
    <w:rsid w:val="00764433"/>
    <w:rsid w:val="007644EE"/>
    <w:rsid w:val="00764D2F"/>
    <w:rsid w:val="0076518D"/>
    <w:rsid w:val="00766322"/>
    <w:rsid w:val="00766B9D"/>
    <w:rsid w:val="00766DC3"/>
    <w:rsid w:val="00766DEB"/>
    <w:rsid w:val="00766E41"/>
    <w:rsid w:val="0076707A"/>
    <w:rsid w:val="00771FA7"/>
    <w:rsid w:val="00772840"/>
    <w:rsid w:val="00772EBB"/>
    <w:rsid w:val="00772EDB"/>
    <w:rsid w:val="00773178"/>
    <w:rsid w:val="00773372"/>
    <w:rsid w:val="007733D8"/>
    <w:rsid w:val="00773636"/>
    <w:rsid w:val="0077456D"/>
    <w:rsid w:val="00774A76"/>
    <w:rsid w:val="00775455"/>
    <w:rsid w:val="0077590A"/>
    <w:rsid w:val="007766BB"/>
    <w:rsid w:val="0077741C"/>
    <w:rsid w:val="007774BA"/>
    <w:rsid w:val="00777A2F"/>
    <w:rsid w:val="00780114"/>
    <w:rsid w:val="00780321"/>
    <w:rsid w:val="00780894"/>
    <w:rsid w:val="00780CA8"/>
    <w:rsid w:val="007810A0"/>
    <w:rsid w:val="007816D5"/>
    <w:rsid w:val="00781A9D"/>
    <w:rsid w:val="007823C6"/>
    <w:rsid w:val="0078288B"/>
    <w:rsid w:val="007839F5"/>
    <w:rsid w:val="007840CD"/>
    <w:rsid w:val="0078439A"/>
    <w:rsid w:val="00785ADF"/>
    <w:rsid w:val="0078635D"/>
    <w:rsid w:val="00786E50"/>
    <w:rsid w:val="007876EE"/>
    <w:rsid w:val="00787A7F"/>
    <w:rsid w:val="00787CA2"/>
    <w:rsid w:val="00790AA2"/>
    <w:rsid w:val="00792470"/>
    <w:rsid w:val="00792F16"/>
    <w:rsid w:val="00793AA0"/>
    <w:rsid w:val="00793FC1"/>
    <w:rsid w:val="007945F0"/>
    <w:rsid w:val="00794FCC"/>
    <w:rsid w:val="00795251"/>
    <w:rsid w:val="007959CE"/>
    <w:rsid w:val="00795D06"/>
    <w:rsid w:val="00795F5B"/>
    <w:rsid w:val="00796406"/>
    <w:rsid w:val="007965CB"/>
    <w:rsid w:val="00796BEE"/>
    <w:rsid w:val="0079758E"/>
    <w:rsid w:val="00797B7E"/>
    <w:rsid w:val="00797D48"/>
    <w:rsid w:val="007A053D"/>
    <w:rsid w:val="007A1805"/>
    <w:rsid w:val="007A1896"/>
    <w:rsid w:val="007A1C85"/>
    <w:rsid w:val="007A2542"/>
    <w:rsid w:val="007A3023"/>
    <w:rsid w:val="007A3288"/>
    <w:rsid w:val="007A4434"/>
    <w:rsid w:val="007A5454"/>
    <w:rsid w:val="007A54B7"/>
    <w:rsid w:val="007A5C65"/>
    <w:rsid w:val="007A629E"/>
    <w:rsid w:val="007A64F9"/>
    <w:rsid w:val="007A66D0"/>
    <w:rsid w:val="007A67A4"/>
    <w:rsid w:val="007A73D6"/>
    <w:rsid w:val="007A7AD4"/>
    <w:rsid w:val="007A7DCE"/>
    <w:rsid w:val="007A7F85"/>
    <w:rsid w:val="007B0B47"/>
    <w:rsid w:val="007B1928"/>
    <w:rsid w:val="007B19B8"/>
    <w:rsid w:val="007B1A48"/>
    <w:rsid w:val="007B2324"/>
    <w:rsid w:val="007B2763"/>
    <w:rsid w:val="007B2975"/>
    <w:rsid w:val="007B2BCF"/>
    <w:rsid w:val="007B3095"/>
    <w:rsid w:val="007B3190"/>
    <w:rsid w:val="007B33B1"/>
    <w:rsid w:val="007B37BA"/>
    <w:rsid w:val="007B4AFC"/>
    <w:rsid w:val="007B4B1C"/>
    <w:rsid w:val="007B4BA6"/>
    <w:rsid w:val="007B5927"/>
    <w:rsid w:val="007B5978"/>
    <w:rsid w:val="007B5AB9"/>
    <w:rsid w:val="007B602F"/>
    <w:rsid w:val="007B6442"/>
    <w:rsid w:val="007B6721"/>
    <w:rsid w:val="007B6B27"/>
    <w:rsid w:val="007C1A97"/>
    <w:rsid w:val="007C2454"/>
    <w:rsid w:val="007C30A0"/>
    <w:rsid w:val="007C30A4"/>
    <w:rsid w:val="007C3197"/>
    <w:rsid w:val="007C3254"/>
    <w:rsid w:val="007C3A1E"/>
    <w:rsid w:val="007C3EEF"/>
    <w:rsid w:val="007C46E8"/>
    <w:rsid w:val="007C48BB"/>
    <w:rsid w:val="007C6219"/>
    <w:rsid w:val="007C677D"/>
    <w:rsid w:val="007C68B8"/>
    <w:rsid w:val="007C6D64"/>
    <w:rsid w:val="007C6ECE"/>
    <w:rsid w:val="007C7615"/>
    <w:rsid w:val="007D0559"/>
    <w:rsid w:val="007D1F6A"/>
    <w:rsid w:val="007D2821"/>
    <w:rsid w:val="007D3514"/>
    <w:rsid w:val="007D3887"/>
    <w:rsid w:val="007D39F3"/>
    <w:rsid w:val="007D3A33"/>
    <w:rsid w:val="007D56D4"/>
    <w:rsid w:val="007D575E"/>
    <w:rsid w:val="007D5DF5"/>
    <w:rsid w:val="007D6270"/>
    <w:rsid w:val="007D6FE5"/>
    <w:rsid w:val="007E0A53"/>
    <w:rsid w:val="007E0BBB"/>
    <w:rsid w:val="007E0C57"/>
    <w:rsid w:val="007E15AD"/>
    <w:rsid w:val="007E1DEF"/>
    <w:rsid w:val="007E252B"/>
    <w:rsid w:val="007E46DB"/>
    <w:rsid w:val="007E49E1"/>
    <w:rsid w:val="007E5075"/>
    <w:rsid w:val="007E73D6"/>
    <w:rsid w:val="007E757D"/>
    <w:rsid w:val="007E7A72"/>
    <w:rsid w:val="007F076E"/>
    <w:rsid w:val="007F0D70"/>
    <w:rsid w:val="007F0E59"/>
    <w:rsid w:val="007F11A0"/>
    <w:rsid w:val="007F26F0"/>
    <w:rsid w:val="007F3542"/>
    <w:rsid w:val="007F4448"/>
    <w:rsid w:val="007F4B9B"/>
    <w:rsid w:val="007F5152"/>
    <w:rsid w:val="007F52EA"/>
    <w:rsid w:val="007F5822"/>
    <w:rsid w:val="007F68E5"/>
    <w:rsid w:val="007F68FC"/>
    <w:rsid w:val="007F6DC8"/>
    <w:rsid w:val="007F7055"/>
    <w:rsid w:val="007F71B9"/>
    <w:rsid w:val="007F75C9"/>
    <w:rsid w:val="00802841"/>
    <w:rsid w:val="00802FD7"/>
    <w:rsid w:val="0080313B"/>
    <w:rsid w:val="008037AF"/>
    <w:rsid w:val="008038A3"/>
    <w:rsid w:val="008042D6"/>
    <w:rsid w:val="00804F3F"/>
    <w:rsid w:val="00805AFF"/>
    <w:rsid w:val="008067F0"/>
    <w:rsid w:val="00810700"/>
    <w:rsid w:val="00810971"/>
    <w:rsid w:val="00810B6E"/>
    <w:rsid w:val="00810DA5"/>
    <w:rsid w:val="00811357"/>
    <w:rsid w:val="008114C7"/>
    <w:rsid w:val="00811948"/>
    <w:rsid w:val="00811982"/>
    <w:rsid w:val="00811B18"/>
    <w:rsid w:val="00812830"/>
    <w:rsid w:val="00812E03"/>
    <w:rsid w:val="008133F7"/>
    <w:rsid w:val="008135CE"/>
    <w:rsid w:val="00813A90"/>
    <w:rsid w:val="00813D1B"/>
    <w:rsid w:val="008146C3"/>
    <w:rsid w:val="00814C84"/>
    <w:rsid w:val="00814CA0"/>
    <w:rsid w:val="00815183"/>
    <w:rsid w:val="00815CAF"/>
    <w:rsid w:val="008166B4"/>
    <w:rsid w:val="008179AE"/>
    <w:rsid w:val="00817A3C"/>
    <w:rsid w:val="00817B96"/>
    <w:rsid w:val="00817C09"/>
    <w:rsid w:val="0082149E"/>
    <w:rsid w:val="008221A2"/>
    <w:rsid w:val="0082240D"/>
    <w:rsid w:val="00822E76"/>
    <w:rsid w:val="00822F6E"/>
    <w:rsid w:val="00823494"/>
    <w:rsid w:val="008238A5"/>
    <w:rsid w:val="0082449C"/>
    <w:rsid w:val="00824B4B"/>
    <w:rsid w:val="00824FC2"/>
    <w:rsid w:val="00825403"/>
    <w:rsid w:val="008254DF"/>
    <w:rsid w:val="00826285"/>
    <w:rsid w:val="00826B1A"/>
    <w:rsid w:val="00827DA8"/>
    <w:rsid w:val="0083032F"/>
    <w:rsid w:val="00831301"/>
    <w:rsid w:val="00831350"/>
    <w:rsid w:val="008316F1"/>
    <w:rsid w:val="00831ED2"/>
    <w:rsid w:val="00832161"/>
    <w:rsid w:val="008321F8"/>
    <w:rsid w:val="0083250B"/>
    <w:rsid w:val="008328DF"/>
    <w:rsid w:val="00832957"/>
    <w:rsid w:val="00832CDD"/>
    <w:rsid w:val="00832F41"/>
    <w:rsid w:val="0083310A"/>
    <w:rsid w:val="0083359D"/>
    <w:rsid w:val="0083410F"/>
    <w:rsid w:val="00834DA5"/>
    <w:rsid w:val="00835758"/>
    <w:rsid w:val="00835883"/>
    <w:rsid w:val="00835AF8"/>
    <w:rsid w:val="00835C74"/>
    <w:rsid w:val="00836B4E"/>
    <w:rsid w:val="00836BD0"/>
    <w:rsid w:val="00836D73"/>
    <w:rsid w:val="008371CD"/>
    <w:rsid w:val="0083779F"/>
    <w:rsid w:val="00837AE1"/>
    <w:rsid w:val="00840F15"/>
    <w:rsid w:val="00842924"/>
    <w:rsid w:val="008435F0"/>
    <w:rsid w:val="00844844"/>
    <w:rsid w:val="00844AD7"/>
    <w:rsid w:val="00844CFA"/>
    <w:rsid w:val="00844DBA"/>
    <w:rsid w:val="008454B0"/>
    <w:rsid w:val="00846018"/>
    <w:rsid w:val="0084603C"/>
    <w:rsid w:val="0084613D"/>
    <w:rsid w:val="00846796"/>
    <w:rsid w:val="00846C74"/>
    <w:rsid w:val="00846E26"/>
    <w:rsid w:val="00846F40"/>
    <w:rsid w:val="00846F9D"/>
    <w:rsid w:val="00847847"/>
    <w:rsid w:val="00850573"/>
    <w:rsid w:val="00850821"/>
    <w:rsid w:val="00850949"/>
    <w:rsid w:val="0085126E"/>
    <w:rsid w:val="0085136E"/>
    <w:rsid w:val="00851593"/>
    <w:rsid w:val="00852074"/>
    <w:rsid w:val="008521DC"/>
    <w:rsid w:val="0085249E"/>
    <w:rsid w:val="008531BA"/>
    <w:rsid w:val="0085440B"/>
    <w:rsid w:val="008544E2"/>
    <w:rsid w:val="00854629"/>
    <w:rsid w:val="008546F0"/>
    <w:rsid w:val="008558ED"/>
    <w:rsid w:val="00855923"/>
    <w:rsid w:val="00855D06"/>
    <w:rsid w:val="00855E1A"/>
    <w:rsid w:val="00855F29"/>
    <w:rsid w:val="0085759A"/>
    <w:rsid w:val="0086033C"/>
    <w:rsid w:val="00860433"/>
    <w:rsid w:val="008606C7"/>
    <w:rsid w:val="00861740"/>
    <w:rsid w:val="00861A7A"/>
    <w:rsid w:val="0086273E"/>
    <w:rsid w:val="00862E04"/>
    <w:rsid w:val="00863642"/>
    <w:rsid w:val="0086374C"/>
    <w:rsid w:val="008637A3"/>
    <w:rsid w:val="00863955"/>
    <w:rsid w:val="00864266"/>
    <w:rsid w:val="0086463B"/>
    <w:rsid w:val="00864868"/>
    <w:rsid w:val="00865B02"/>
    <w:rsid w:val="008664A4"/>
    <w:rsid w:val="008677A2"/>
    <w:rsid w:val="00867F78"/>
    <w:rsid w:val="008700E0"/>
    <w:rsid w:val="0087028C"/>
    <w:rsid w:val="00870630"/>
    <w:rsid w:val="00870B76"/>
    <w:rsid w:val="00871BE3"/>
    <w:rsid w:val="00872683"/>
    <w:rsid w:val="00872C8E"/>
    <w:rsid w:val="00872F8B"/>
    <w:rsid w:val="008737DF"/>
    <w:rsid w:val="00873A6B"/>
    <w:rsid w:val="00873D7A"/>
    <w:rsid w:val="00874217"/>
    <w:rsid w:val="00874A8B"/>
    <w:rsid w:val="00874B0E"/>
    <w:rsid w:val="008752AC"/>
    <w:rsid w:val="00875CC8"/>
    <w:rsid w:val="00876B40"/>
    <w:rsid w:val="00877003"/>
    <w:rsid w:val="00880601"/>
    <w:rsid w:val="00880E09"/>
    <w:rsid w:val="0088192A"/>
    <w:rsid w:val="008819BC"/>
    <w:rsid w:val="00882162"/>
    <w:rsid w:val="008822BC"/>
    <w:rsid w:val="00882379"/>
    <w:rsid w:val="008829A0"/>
    <w:rsid w:val="008829C2"/>
    <w:rsid w:val="00882B6A"/>
    <w:rsid w:val="00884086"/>
    <w:rsid w:val="0088449C"/>
    <w:rsid w:val="008860E7"/>
    <w:rsid w:val="008866B3"/>
    <w:rsid w:val="00887101"/>
    <w:rsid w:val="00887432"/>
    <w:rsid w:val="008879BD"/>
    <w:rsid w:val="00887C69"/>
    <w:rsid w:val="00887D05"/>
    <w:rsid w:val="008904CD"/>
    <w:rsid w:val="008916F9"/>
    <w:rsid w:val="00892097"/>
    <w:rsid w:val="008923D1"/>
    <w:rsid w:val="00894CA4"/>
    <w:rsid w:val="00894F35"/>
    <w:rsid w:val="008960F5"/>
    <w:rsid w:val="0089684B"/>
    <w:rsid w:val="00896A23"/>
    <w:rsid w:val="008972D6"/>
    <w:rsid w:val="008A03C3"/>
    <w:rsid w:val="008A078D"/>
    <w:rsid w:val="008A0FFD"/>
    <w:rsid w:val="008A1311"/>
    <w:rsid w:val="008A1FA2"/>
    <w:rsid w:val="008A2254"/>
    <w:rsid w:val="008A37F4"/>
    <w:rsid w:val="008A3DA8"/>
    <w:rsid w:val="008A5195"/>
    <w:rsid w:val="008A6194"/>
    <w:rsid w:val="008A6334"/>
    <w:rsid w:val="008A65B1"/>
    <w:rsid w:val="008A6789"/>
    <w:rsid w:val="008A7C6F"/>
    <w:rsid w:val="008B04B9"/>
    <w:rsid w:val="008B17C7"/>
    <w:rsid w:val="008B22B7"/>
    <w:rsid w:val="008B26A0"/>
    <w:rsid w:val="008B2B6B"/>
    <w:rsid w:val="008B31BB"/>
    <w:rsid w:val="008B374F"/>
    <w:rsid w:val="008B3FDE"/>
    <w:rsid w:val="008B417D"/>
    <w:rsid w:val="008B41B4"/>
    <w:rsid w:val="008B4E8E"/>
    <w:rsid w:val="008B5244"/>
    <w:rsid w:val="008B57D4"/>
    <w:rsid w:val="008B5BA3"/>
    <w:rsid w:val="008B5C2E"/>
    <w:rsid w:val="008B6052"/>
    <w:rsid w:val="008B64C5"/>
    <w:rsid w:val="008B6BE9"/>
    <w:rsid w:val="008B6E35"/>
    <w:rsid w:val="008B77FF"/>
    <w:rsid w:val="008C0A88"/>
    <w:rsid w:val="008C0AA8"/>
    <w:rsid w:val="008C0FA4"/>
    <w:rsid w:val="008C120B"/>
    <w:rsid w:val="008C12A6"/>
    <w:rsid w:val="008C13DE"/>
    <w:rsid w:val="008C22D2"/>
    <w:rsid w:val="008C429F"/>
    <w:rsid w:val="008C4535"/>
    <w:rsid w:val="008C45AE"/>
    <w:rsid w:val="008C4BD0"/>
    <w:rsid w:val="008C563D"/>
    <w:rsid w:val="008C5AE8"/>
    <w:rsid w:val="008C69B4"/>
    <w:rsid w:val="008C6D2E"/>
    <w:rsid w:val="008C6FAF"/>
    <w:rsid w:val="008C70C5"/>
    <w:rsid w:val="008C770B"/>
    <w:rsid w:val="008C7710"/>
    <w:rsid w:val="008D0DA3"/>
    <w:rsid w:val="008D236A"/>
    <w:rsid w:val="008D2F59"/>
    <w:rsid w:val="008D3031"/>
    <w:rsid w:val="008D3F05"/>
    <w:rsid w:val="008D4D3D"/>
    <w:rsid w:val="008D520B"/>
    <w:rsid w:val="008D5440"/>
    <w:rsid w:val="008D5AC0"/>
    <w:rsid w:val="008D61CD"/>
    <w:rsid w:val="008D6D34"/>
    <w:rsid w:val="008D7A16"/>
    <w:rsid w:val="008D7E03"/>
    <w:rsid w:val="008E06EC"/>
    <w:rsid w:val="008E11D7"/>
    <w:rsid w:val="008E11EF"/>
    <w:rsid w:val="008E1905"/>
    <w:rsid w:val="008E2376"/>
    <w:rsid w:val="008E262A"/>
    <w:rsid w:val="008E3453"/>
    <w:rsid w:val="008E35F0"/>
    <w:rsid w:val="008E4175"/>
    <w:rsid w:val="008E4CF4"/>
    <w:rsid w:val="008E53AE"/>
    <w:rsid w:val="008E5424"/>
    <w:rsid w:val="008E5C14"/>
    <w:rsid w:val="008E5CB7"/>
    <w:rsid w:val="008E6597"/>
    <w:rsid w:val="008E66B3"/>
    <w:rsid w:val="008E6CA4"/>
    <w:rsid w:val="008E6F27"/>
    <w:rsid w:val="008E702D"/>
    <w:rsid w:val="008E719A"/>
    <w:rsid w:val="008E7F6C"/>
    <w:rsid w:val="008F0046"/>
    <w:rsid w:val="008F04F8"/>
    <w:rsid w:val="008F07EA"/>
    <w:rsid w:val="008F086D"/>
    <w:rsid w:val="008F08EC"/>
    <w:rsid w:val="008F1123"/>
    <w:rsid w:val="008F1B23"/>
    <w:rsid w:val="008F311A"/>
    <w:rsid w:val="008F4251"/>
    <w:rsid w:val="008F4372"/>
    <w:rsid w:val="008F5102"/>
    <w:rsid w:val="008F56DD"/>
    <w:rsid w:val="008F5837"/>
    <w:rsid w:val="008F59CD"/>
    <w:rsid w:val="008F5E4E"/>
    <w:rsid w:val="008F6943"/>
    <w:rsid w:val="008F6C9A"/>
    <w:rsid w:val="008F6D3F"/>
    <w:rsid w:val="008F7777"/>
    <w:rsid w:val="00901875"/>
    <w:rsid w:val="00902EA5"/>
    <w:rsid w:val="0090322D"/>
    <w:rsid w:val="0090337A"/>
    <w:rsid w:val="00903495"/>
    <w:rsid w:val="00903CD8"/>
    <w:rsid w:val="009040C2"/>
    <w:rsid w:val="00904279"/>
    <w:rsid w:val="009042C3"/>
    <w:rsid w:val="0090449F"/>
    <w:rsid w:val="0090467D"/>
    <w:rsid w:val="0090514C"/>
    <w:rsid w:val="009059FA"/>
    <w:rsid w:val="00905B49"/>
    <w:rsid w:val="00905DCD"/>
    <w:rsid w:val="00905E9A"/>
    <w:rsid w:val="00905F03"/>
    <w:rsid w:val="0090682A"/>
    <w:rsid w:val="00906A84"/>
    <w:rsid w:val="00907A04"/>
    <w:rsid w:val="00910828"/>
    <w:rsid w:val="009110B0"/>
    <w:rsid w:val="009119B7"/>
    <w:rsid w:val="00911C71"/>
    <w:rsid w:val="00912439"/>
    <w:rsid w:val="00912D26"/>
    <w:rsid w:val="00915F05"/>
    <w:rsid w:val="00916B57"/>
    <w:rsid w:val="00917170"/>
    <w:rsid w:val="0091788F"/>
    <w:rsid w:val="009206BC"/>
    <w:rsid w:val="00920E48"/>
    <w:rsid w:val="009212E0"/>
    <w:rsid w:val="009212E6"/>
    <w:rsid w:val="009214A2"/>
    <w:rsid w:val="009215D2"/>
    <w:rsid w:val="00922498"/>
    <w:rsid w:val="00922AAF"/>
    <w:rsid w:val="00922E08"/>
    <w:rsid w:val="0092388F"/>
    <w:rsid w:val="00923D97"/>
    <w:rsid w:val="00923F37"/>
    <w:rsid w:val="00924544"/>
    <w:rsid w:val="00924F05"/>
    <w:rsid w:val="00925F66"/>
    <w:rsid w:val="00926678"/>
    <w:rsid w:val="00926C92"/>
    <w:rsid w:val="0092748F"/>
    <w:rsid w:val="009300A4"/>
    <w:rsid w:val="00930333"/>
    <w:rsid w:val="00931028"/>
    <w:rsid w:val="00931683"/>
    <w:rsid w:val="009317D3"/>
    <w:rsid w:val="00931AFC"/>
    <w:rsid w:val="00932170"/>
    <w:rsid w:val="00932440"/>
    <w:rsid w:val="009327B9"/>
    <w:rsid w:val="00932E1F"/>
    <w:rsid w:val="0093311A"/>
    <w:rsid w:val="009331FB"/>
    <w:rsid w:val="0093326B"/>
    <w:rsid w:val="00936739"/>
    <w:rsid w:val="00936F2E"/>
    <w:rsid w:val="00936F6C"/>
    <w:rsid w:val="009372EB"/>
    <w:rsid w:val="00937542"/>
    <w:rsid w:val="00937A40"/>
    <w:rsid w:val="00937D02"/>
    <w:rsid w:val="00937E5C"/>
    <w:rsid w:val="00940922"/>
    <w:rsid w:val="00940C97"/>
    <w:rsid w:val="00941615"/>
    <w:rsid w:val="00941FD0"/>
    <w:rsid w:val="00942640"/>
    <w:rsid w:val="00942737"/>
    <w:rsid w:val="009428D2"/>
    <w:rsid w:val="00942FB8"/>
    <w:rsid w:val="009435CE"/>
    <w:rsid w:val="0094376F"/>
    <w:rsid w:val="009461C4"/>
    <w:rsid w:val="00946424"/>
    <w:rsid w:val="00947949"/>
    <w:rsid w:val="00947B70"/>
    <w:rsid w:val="00947BC0"/>
    <w:rsid w:val="009500C0"/>
    <w:rsid w:val="00950116"/>
    <w:rsid w:val="00950143"/>
    <w:rsid w:val="00951051"/>
    <w:rsid w:val="009510D7"/>
    <w:rsid w:val="009527D3"/>
    <w:rsid w:val="009535AC"/>
    <w:rsid w:val="009535CF"/>
    <w:rsid w:val="009536EA"/>
    <w:rsid w:val="009538C0"/>
    <w:rsid w:val="00953E4A"/>
    <w:rsid w:val="00953EC6"/>
    <w:rsid w:val="0095477A"/>
    <w:rsid w:val="009552CC"/>
    <w:rsid w:val="009554F6"/>
    <w:rsid w:val="00956563"/>
    <w:rsid w:val="0095681B"/>
    <w:rsid w:val="0095706F"/>
    <w:rsid w:val="00957082"/>
    <w:rsid w:val="0095723E"/>
    <w:rsid w:val="00957374"/>
    <w:rsid w:val="009573E6"/>
    <w:rsid w:val="00957403"/>
    <w:rsid w:val="00957410"/>
    <w:rsid w:val="009575F5"/>
    <w:rsid w:val="00957E4B"/>
    <w:rsid w:val="00960E53"/>
    <w:rsid w:val="0096136D"/>
    <w:rsid w:val="00961C36"/>
    <w:rsid w:val="00962F90"/>
    <w:rsid w:val="00964301"/>
    <w:rsid w:val="00964BEF"/>
    <w:rsid w:val="0096698F"/>
    <w:rsid w:val="00967234"/>
    <w:rsid w:val="009675B8"/>
    <w:rsid w:val="00967F75"/>
    <w:rsid w:val="00970D64"/>
    <w:rsid w:val="0097103D"/>
    <w:rsid w:val="009710F6"/>
    <w:rsid w:val="0097180B"/>
    <w:rsid w:val="0097283E"/>
    <w:rsid w:val="009731D1"/>
    <w:rsid w:val="009755B5"/>
    <w:rsid w:val="009758E6"/>
    <w:rsid w:val="009768DC"/>
    <w:rsid w:val="00977F65"/>
    <w:rsid w:val="0098057E"/>
    <w:rsid w:val="009806DF"/>
    <w:rsid w:val="00981828"/>
    <w:rsid w:val="009823C8"/>
    <w:rsid w:val="00982A45"/>
    <w:rsid w:val="00982FBB"/>
    <w:rsid w:val="00983C17"/>
    <w:rsid w:val="0098426E"/>
    <w:rsid w:val="00984809"/>
    <w:rsid w:val="009866E3"/>
    <w:rsid w:val="00986908"/>
    <w:rsid w:val="00986C4E"/>
    <w:rsid w:val="00987694"/>
    <w:rsid w:val="00987F06"/>
    <w:rsid w:val="00987F6D"/>
    <w:rsid w:val="00987F9C"/>
    <w:rsid w:val="00990386"/>
    <w:rsid w:val="009914D2"/>
    <w:rsid w:val="00991538"/>
    <w:rsid w:val="00991A79"/>
    <w:rsid w:val="00991F80"/>
    <w:rsid w:val="0099217F"/>
    <w:rsid w:val="009921C6"/>
    <w:rsid w:val="009925BD"/>
    <w:rsid w:val="00992C5E"/>
    <w:rsid w:val="00993761"/>
    <w:rsid w:val="0099402B"/>
    <w:rsid w:val="009948B9"/>
    <w:rsid w:val="00994C7D"/>
    <w:rsid w:val="00994D38"/>
    <w:rsid w:val="00995365"/>
    <w:rsid w:val="00995596"/>
    <w:rsid w:val="00996EBC"/>
    <w:rsid w:val="0099705A"/>
    <w:rsid w:val="009970B2"/>
    <w:rsid w:val="009974D4"/>
    <w:rsid w:val="00997F19"/>
    <w:rsid w:val="009A0B19"/>
    <w:rsid w:val="009A22E3"/>
    <w:rsid w:val="009A2B37"/>
    <w:rsid w:val="009A2E3D"/>
    <w:rsid w:val="009A4773"/>
    <w:rsid w:val="009A4D1A"/>
    <w:rsid w:val="009A50A8"/>
    <w:rsid w:val="009A619C"/>
    <w:rsid w:val="009A650C"/>
    <w:rsid w:val="009A789B"/>
    <w:rsid w:val="009A7D66"/>
    <w:rsid w:val="009B0142"/>
    <w:rsid w:val="009B0485"/>
    <w:rsid w:val="009B18CC"/>
    <w:rsid w:val="009B2239"/>
    <w:rsid w:val="009B39C9"/>
    <w:rsid w:val="009B4535"/>
    <w:rsid w:val="009B455D"/>
    <w:rsid w:val="009B56B1"/>
    <w:rsid w:val="009B5A27"/>
    <w:rsid w:val="009B5C65"/>
    <w:rsid w:val="009B5C84"/>
    <w:rsid w:val="009B5F07"/>
    <w:rsid w:val="009B6153"/>
    <w:rsid w:val="009B695D"/>
    <w:rsid w:val="009B6A6A"/>
    <w:rsid w:val="009B6FFD"/>
    <w:rsid w:val="009B710E"/>
    <w:rsid w:val="009B755E"/>
    <w:rsid w:val="009B7634"/>
    <w:rsid w:val="009C0007"/>
    <w:rsid w:val="009C1757"/>
    <w:rsid w:val="009C366C"/>
    <w:rsid w:val="009C3C4A"/>
    <w:rsid w:val="009C3F01"/>
    <w:rsid w:val="009C4EF6"/>
    <w:rsid w:val="009C5168"/>
    <w:rsid w:val="009C5633"/>
    <w:rsid w:val="009C605A"/>
    <w:rsid w:val="009C6451"/>
    <w:rsid w:val="009C6AA0"/>
    <w:rsid w:val="009C6B01"/>
    <w:rsid w:val="009C737F"/>
    <w:rsid w:val="009C7D98"/>
    <w:rsid w:val="009C7E48"/>
    <w:rsid w:val="009D08F1"/>
    <w:rsid w:val="009D0E67"/>
    <w:rsid w:val="009D2159"/>
    <w:rsid w:val="009D23CF"/>
    <w:rsid w:val="009D31F8"/>
    <w:rsid w:val="009D3A56"/>
    <w:rsid w:val="009D441C"/>
    <w:rsid w:val="009D4458"/>
    <w:rsid w:val="009D4C07"/>
    <w:rsid w:val="009D58FD"/>
    <w:rsid w:val="009D69A0"/>
    <w:rsid w:val="009D7128"/>
    <w:rsid w:val="009D74E5"/>
    <w:rsid w:val="009E02AB"/>
    <w:rsid w:val="009E0677"/>
    <w:rsid w:val="009E06AC"/>
    <w:rsid w:val="009E10F5"/>
    <w:rsid w:val="009E1B32"/>
    <w:rsid w:val="009E1C95"/>
    <w:rsid w:val="009E1D4C"/>
    <w:rsid w:val="009E3124"/>
    <w:rsid w:val="009E425C"/>
    <w:rsid w:val="009E45A8"/>
    <w:rsid w:val="009E46A1"/>
    <w:rsid w:val="009E5408"/>
    <w:rsid w:val="009E6929"/>
    <w:rsid w:val="009E70AA"/>
    <w:rsid w:val="009E786E"/>
    <w:rsid w:val="009E7DAC"/>
    <w:rsid w:val="009F01EA"/>
    <w:rsid w:val="009F17B6"/>
    <w:rsid w:val="009F27D0"/>
    <w:rsid w:val="009F2B37"/>
    <w:rsid w:val="009F2D6C"/>
    <w:rsid w:val="009F31EB"/>
    <w:rsid w:val="009F348A"/>
    <w:rsid w:val="009F35E3"/>
    <w:rsid w:val="009F428A"/>
    <w:rsid w:val="009F4852"/>
    <w:rsid w:val="009F4A5D"/>
    <w:rsid w:val="009F4AA3"/>
    <w:rsid w:val="009F520E"/>
    <w:rsid w:val="009F5239"/>
    <w:rsid w:val="009F60C9"/>
    <w:rsid w:val="009F646D"/>
    <w:rsid w:val="009F6558"/>
    <w:rsid w:val="009F68EB"/>
    <w:rsid w:val="009F72DF"/>
    <w:rsid w:val="009F74E2"/>
    <w:rsid w:val="009F77DD"/>
    <w:rsid w:val="009F7D4B"/>
    <w:rsid w:val="00A01D7D"/>
    <w:rsid w:val="00A0276C"/>
    <w:rsid w:val="00A02961"/>
    <w:rsid w:val="00A029CD"/>
    <w:rsid w:val="00A0350E"/>
    <w:rsid w:val="00A0351B"/>
    <w:rsid w:val="00A03590"/>
    <w:rsid w:val="00A0372B"/>
    <w:rsid w:val="00A03DC6"/>
    <w:rsid w:val="00A03F10"/>
    <w:rsid w:val="00A043DA"/>
    <w:rsid w:val="00A05063"/>
    <w:rsid w:val="00A07125"/>
    <w:rsid w:val="00A071F8"/>
    <w:rsid w:val="00A07DDC"/>
    <w:rsid w:val="00A10595"/>
    <w:rsid w:val="00A110AF"/>
    <w:rsid w:val="00A116E2"/>
    <w:rsid w:val="00A11C5B"/>
    <w:rsid w:val="00A12FB9"/>
    <w:rsid w:val="00A130A1"/>
    <w:rsid w:val="00A13714"/>
    <w:rsid w:val="00A13884"/>
    <w:rsid w:val="00A13B71"/>
    <w:rsid w:val="00A13F03"/>
    <w:rsid w:val="00A143BB"/>
    <w:rsid w:val="00A15F48"/>
    <w:rsid w:val="00A1613E"/>
    <w:rsid w:val="00A178E7"/>
    <w:rsid w:val="00A17C5C"/>
    <w:rsid w:val="00A17D6C"/>
    <w:rsid w:val="00A20008"/>
    <w:rsid w:val="00A20389"/>
    <w:rsid w:val="00A21BA6"/>
    <w:rsid w:val="00A222AB"/>
    <w:rsid w:val="00A22E54"/>
    <w:rsid w:val="00A233A7"/>
    <w:rsid w:val="00A239CB"/>
    <w:rsid w:val="00A243DB"/>
    <w:rsid w:val="00A249E5"/>
    <w:rsid w:val="00A255BC"/>
    <w:rsid w:val="00A2583D"/>
    <w:rsid w:val="00A26AE4"/>
    <w:rsid w:val="00A26FF0"/>
    <w:rsid w:val="00A274C4"/>
    <w:rsid w:val="00A30086"/>
    <w:rsid w:val="00A30265"/>
    <w:rsid w:val="00A323BD"/>
    <w:rsid w:val="00A3419F"/>
    <w:rsid w:val="00A3425C"/>
    <w:rsid w:val="00A344ED"/>
    <w:rsid w:val="00A3456E"/>
    <w:rsid w:val="00A34A43"/>
    <w:rsid w:val="00A34C0D"/>
    <w:rsid w:val="00A35785"/>
    <w:rsid w:val="00A357F9"/>
    <w:rsid w:val="00A3588E"/>
    <w:rsid w:val="00A365D2"/>
    <w:rsid w:val="00A369CA"/>
    <w:rsid w:val="00A36BAD"/>
    <w:rsid w:val="00A36D74"/>
    <w:rsid w:val="00A373C8"/>
    <w:rsid w:val="00A37B68"/>
    <w:rsid w:val="00A4035F"/>
    <w:rsid w:val="00A40589"/>
    <w:rsid w:val="00A411C5"/>
    <w:rsid w:val="00A4165B"/>
    <w:rsid w:val="00A41E06"/>
    <w:rsid w:val="00A42D4C"/>
    <w:rsid w:val="00A44063"/>
    <w:rsid w:val="00A45461"/>
    <w:rsid w:val="00A4576E"/>
    <w:rsid w:val="00A45AFD"/>
    <w:rsid w:val="00A460D5"/>
    <w:rsid w:val="00A4696D"/>
    <w:rsid w:val="00A46DC1"/>
    <w:rsid w:val="00A46E7B"/>
    <w:rsid w:val="00A477A6"/>
    <w:rsid w:val="00A47923"/>
    <w:rsid w:val="00A5067A"/>
    <w:rsid w:val="00A509FE"/>
    <w:rsid w:val="00A51411"/>
    <w:rsid w:val="00A51B83"/>
    <w:rsid w:val="00A523A8"/>
    <w:rsid w:val="00A523B8"/>
    <w:rsid w:val="00A5242D"/>
    <w:rsid w:val="00A527DE"/>
    <w:rsid w:val="00A52A14"/>
    <w:rsid w:val="00A533F9"/>
    <w:rsid w:val="00A53B80"/>
    <w:rsid w:val="00A550A0"/>
    <w:rsid w:val="00A5644E"/>
    <w:rsid w:val="00A566B7"/>
    <w:rsid w:val="00A56B65"/>
    <w:rsid w:val="00A577E0"/>
    <w:rsid w:val="00A6009E"/>
    <w:rsid w:val="00A610C2"/>
    <w:rsid w:val="00A61572"/>
    <w:rsid w:val="00A61D57"/>
    <w:rsid w:val="00A62C2A"/>
    <w:rsid w:val="00A62E27"/>
    <w:rsid w:val="00A62EA1"/>
    <w:rsid w:val="00A63258"/>
    <w:rsid w:val="00A63660"/>
    <w:rsid w:val="00A636B7"/>
    <w:rsid w:val="00A63948"/>
    <w:rsid w:val="00A63B49"/>
    <w:rsid w:val="00A6449A"/>
    <w:rsid w:val="00A6466D"/>
    <w:rsid w:val="00A65CE9"/>
    <w:rsid w:val="00A66C16"/>
    <w:rsid w:val="00A67047"/>
    <w:rsid w:val="00A677B8"/>
    <w:rsid w:val="00A67CCB"/>
    <w:rsid w:val="00A701A4"/>
    <w:rsid w:val="00A70489"/>
    <w:rsid w:val="00A70A94"/>
    <w:rsid w:val="00A70C5B"/>
    <w:rsid w:val="00A71581"/>
    <w:rsid w:val="00A718F8"/>
    <w:rsid w:val="00A72182"/>
    <w:rsid w:val="00A721D4"/>
    <w:rsid w:val="00A72905"/>
    <w:rsid w:val="00A72A04"/>
    <w:rsid w:val="00A72C47"/>
    <w:rsid w:val="00A72D92"/>
    <w:rsid w:val="00A73C89"/>
    <w:rsid w:val="00A755E6"/>
    <w:rsid w:val="00A7655B"/>
    <w:rsid w:val="00A77171"/>
    <w:rsid w:val="00A77267"/>
    <w:rsid w:val="00A77738"/>
    <w:rsid w:val="00A778F6"/>
    <w:rsid w:val="00A77B2F"/>
    <w:rsid w:val="00A77CB7"/>
    <w:rsid w:val="00A80B9B"/>
    <w:rsid w:val="00A80C57"/>
    <w:rsid w:val="00A81256"/>
    <w:rsid w:val="00A81E53"/>
    <w:rsid w:val="00A82049"/>
    <w:rsid w:val="00A822FF"/>
    <w:rsid w:val="00A82345"/>
    <w:rsid w:val="00A83630"/>
    <w:rsid w:val="00A84D6C"/>
    <w:rsid w:val="00A850D3"/>
    <w:rsid w:val="00A86080"/>
    <w:rsid w:val="00A86FD6"/>
    <w:rsid w:val="00A873A3"/>
    <w:rsid w:val="00A874CD"/>
    <w:rsid w:val="00A87994"/>
    <w:rsid w:val="00A90261"/>
    <w:rsid w:val="00A90D19"/>
    <w:rsid w:val="00A91029"/>
    <w:rsid w:val="00A91573"/>
    <w:rsid w:val="00A917C1"/>
    <w:rsid w:val="00A91F20"/>
    <w:rsid w:val="00A9240B"/>
    <w:rsid w:val="00A92734"/>
    <w:rsid w:val="00A92F32"/>
    <w:rsid w:val="00A92FF2"/>
    <w:rsid w:val="00A930CB"/>
    <w:rsid w:val="00A93F05"/>
    <w:rsid w:val="00A9404C"/>
    <w:rsid w:val="00A9485B"/>
    <w:rsid w:val="00A950F0"/>
    <w:rsid w:val="00A95382"/>
    <w:rsid w:val="00A95828"/>
    <w:rsid w:val="00A9592E"/>
    <w:rsid w:val="00A95ACA"/>
    <w:rsid w:val="00A95C73"/>
    <w:rsid w:val="00A96CAD"/>
    <w:rsid w:val="00A970BE"/>
    <w:rsid w:val="00A97365"/>
    <w:rsid w:val="00A97528"/>
    <w:rsid w:val="00A97DEA"/>
    <w:rsid w:val="00AA02B4"/>
    <w:rsid w:val="00AA0DB8"/>
    <w:rsid w:val="00AA1AAC"/>
    <w:rsid w:val="00AA1E23"/>
    <w:rsid w:val="00AA22F3"/>
    <w:rsid w:val="00AA2653"/>
    <w:rsid w:val="00AA27D1"/>
    <w:rsid w:val="00AA3A6E"/>
    <w:rsid w:val="00AA3D0D"/>
    <w:rsid w:val="00AA3E27"/>
    <w:rsid w:val="00AA45CE"/>
    <w:rsid w:val="00AA4D14"/>
    <w:rsid w:val="00AA6472"/>
    <w:rsid w:val="00AA69E9"/>
    <w:rsid w:val="00AA6FCB"/>
    <w:rsid w:val="00AA72F6"/>
    <w:rsid w:val="00AA777F"/>
    <w:rsid w:val="00AB02E4"/>
    <w:rsid w:val="00AB0928"/>
    <w:rsid w:val="00AB1F85"/>
    <w:rsid w:val="00AB2814"/>
    <w:rsid w:val="00AB2DD8"/>
    <w:rsid w:val="00AB3AF9"/>
    <w:rsid w:val="00AB3C67"/>
    <w:rsid w:val="00AB40D4"/>
    <w:rsid w:val="00AB51E8"/>
    <w:rsid w:val="00AB5451"/>
    <w:rsid w:val="00AB5741"/>
    <w:rsid w:val="00AB5A80"/>
    <w:rsid w:val="00AB5D78"/>
    <w:rsid w:val="00AB5DDF"/>
    <w:rsid w:val="00AB5F36"/>
    <w:rsid w:val="00AB7099"/>
    <w:rsid w:val="00AB71CD"/>
    <w:rsid w:val="00AB7AB8"/>
    <w:rsid w:val="00AC023D"/>
    <w:rsid w:val="00AC0B0A"/>
    <w:rsid w:val="00AC125C"/>
    <w:rsid w:val="00AC13E5"/>
    <w:rsid w:val="00AC1587"/>
    <w:rsid w:val="00AC17AB"/>
    <w:rsid w:val="00AC1B8A"/>
    <w:rsid w:val="00AC291C"/>
    <w:rsid w:val="00AC2A9F"/>
    <w:rsid w:val="00AC2D27"/>
    <w:rsid w:val="00AC4762"/>
    <w:rsid w:val="00AC4FA3"/>
    <w:rsid w:val="00AC51A5"/>
    <w:rsid w:val="00AC5790"/>
    <w:rsid w:val="00AC6832"/>
    <w:rsid w:val="00AC76F2"/>
    <w:rsid w:val="00AC7DB1"/>
    <w:rsid w:val="00AC7F31"/>
    <w:rsid w:val="00AD03C0"/>
    <w:rsid w:val="00AD0577"/>
    <w:rsid w:val="00AD12E7"/>
    <w:rsid w:val="00AD16F6"/>
    <w:rsid w:val="00AD1716"/>
    <w:rsid w:val="00AD18E7"/>
    <w:rsid w:val="00AD262C"/>
    <w:rsid w:val="00AD3333"/>
    <w:rsid w:val="00AD3449"/>
    <w:rsid w:val="00AD42CC"/>
    <w:rsid w:val="00AD469F"/>
    <w:rsid w:val="00AD4A11"/>
    <w:rsid w:val="00AD4A72"/>
    <w:rsid w:val="00AD53C3"/>
    <w:rsid w:val="00AD59C5"/>
    <w:rsid w:val="00AD5A8B"/>
    <w:rsid w:val="00AD6B62"/>
    <w:rsid w:val="00AD6CC6"/>
    <w:rsid w:val="00AD70A1"/>
    <w:rsid w:val="00AD7154"/>
    <w:rsid w:val="00AE008C"/>
    <w:rsid w:val="00AE1389"/>
    <w:rsid w:val="00AE1559"/>
    <w:rsid w:val="00AE17E2"/>
    <w:rsid w:val="00AE18EB"/>
    <w:rsid w:val="00AE26C6"/>
    <w:rsid w:val="00AE2AFE"/>
    <w:rsid w:val="00AE2B92"/>
    <w:rsid w:val="00AE32EF"/>
    <w:rsid w:val="00AE448F"/>
    <w:rsid w:val="00AE44D1"/>
    <w:rsid w:val="00AE4DD5"/>
    <w:rsid w:val="00AE4DE2"/>
    <w:rsid w:val="00AE560F"/>
    <w:rsid w:val="00AE5F79"/>
    <w:rsid w:val="00AE6783"/>
    <w:rsid w:val="00AE7136"/>
    <w:rsid w:val="00AE7270"/>
    <w:rsid w:val="00AE7447"/>
    <w:rsid w:val="00AE76AD"/>
    <w:rsid w:val="00AE78C0"/>
    <w:rsid w:val="00AF00EB"/>
    <w:rsid w:val="00AF0F9E"/>
    <w:rsid w:val="00AF152C"/>
    <w:rsid w:val="00AF22D3"/>
    <w:rsid w:val="00AF2488"/>
    <w:rsid w:val="00AF3912"/>
    <w:rsid w:val="00AF3BF3"/>
    <w:rsid w:val="00AF3E8D"/>
    <w:rsid w:val="00AF4502"/>
    <w:rsid w:val="00AF4BF1"/>
    <w:rsid w:val="00AF506C"/>
    <w:rsid w:val="00AF539E"/>
    <w:rsid w:val="00AF604C"/>
    <w:rsid w:val="00AF65B4"/>
    <w:rsid w:val="00AF709D"/>
    <w:rsid w:val="00AF7592"/>
    <w:rsid w:val="00AF7C29"/>
    <w:rsid w:val="00B00C1E"/>
    <w:rsid w:val="00B01021"/>
    <w:rsid w:val="00B02F8C"/>
    <w:rsid w:val="00B034CD"/>
    <w:rsid w:val="00B03ABE"/>
    <w:rsid w:val="00B04237"/>
    <w:rsid w:val="00B04504"/>
    <w:rsid w:val="00B0485D"/>
    <w:rsid w:val="00B04AFA"/>
    <w:rsid w:val="00B04C60"/>
    <w:rsid w:val="00B04DC4"/>
    <w:rsid w:val="00B056A8"/>
    <w:rsid w:val="00B05F87"/>
    <w:rsid w:val="00B07565"/>
    <w:rsid w:val="00B07B02"/>
    <w:rsid w:val="00B10681"/>
    <w:rsid w:val="00B10EED"/>
    <w:rsid w:val="00B114FC"/>
    <w:rsid w:val="00B11514"/>
    <w:rsid w:val="00B1219D"/>
    <w:rsid w:val="00B12BDB"/>
    <w:rsid w:val="00B12C06"/>
    <w:rsid w:val="00B13F41"/>
    <w:rsid w:val="00B13F55"/>
    <w:rsid w:val="00B14A89"/>
    <w:rsid w:val="00B15157"/>
    <w:rsid w:val="00B15CD2"/>
    <w:rsid w:val="00B16157"/>
    <w:rsid w:val="00B16AF9"/>
    <w:rsid w:val="00B174EC"/>
    <w:rsid w:val="00B175E8"/>
    <w:rsid w:val="00B17886"/>
    <w:rsid w:val="00B20353"/>
    <w:rsid w:val="00B216E3"/>
    <w:rsid w:val="00B218FF"/>
    <w:rsid w:val="00B219F6"/>
    <w:rsid w:val="00B21F51"/>
    <w:rsid w:val="00B227E7"/>
    <w:rsid w:val="00B22ACF"/>
    <w:rsid w:val="00B23A5A"/>
    <w:rsid w:val="00B23FD8"/>
    <w:rsid w:val="00B249D3"/>
    <w:rsid w:val="00B26293"/>
    <w:rsid w:val="00B26893"/>
    <w:rsid w:val="00B3030A"/>
    <w:rsid w:val="00B304B9"/>
    <w:rsid w:val="00B30602"/>
    <w:rsid w:val="00B33671"/>
    <w:rsid w:val="00B33EA7"/>
    <w:rsid w:val="00B34005"/>
    <w:rsid w:val="00B36FF9"/>
    <w:rsid w:val="00B37124"/>
    <w:rsid w:val="00B3730E"/>
    <w:rsid w:val="00B3779A"/>
    <w:rsid w:val="00B378FF"/>
    <w:rsid w:val="00B40268"/>
    <w:rsid w:val="00B41C2F"/>
    <w:rsid w:val="00B4217F"/>
    <w:rsid w:val="00B43285"/>
    <w:rsid w:val="00B438EF"/>
    <w:rsid w:val="00B43A78"/>
    <w:rsid w:val="00B43B2A"/>
    <w:rsid w:val="00B450E0"/>
    <w:rsid w:val="00B45D43"/>
    <w:rsid w:val="00B45D62"/>
    <w:rsid w:val="00B45F27"/>
    <w:rsid w:val="00B465C8"/>
    <w:rsid w:val="00B46753"/>
    <w:rsid w:val="00B479CF"/>
    <w:rsid w:val="00B47AF7"/>
    <w:rsid w:val="00B47EBC"/>
    <w:rsid w:val="00B519E2"/>
    <w:rsid w:val="00B530A4"/>
    <w:rsid w:val="00B53FFE"/>
    <w:rsid w:val="00B54A0C"/>
    <w:rsid w:val="00B54E8F"/>
    <w:rsid w:val="00B55573"/>
    <w:rsid w:val="00B567D2"/>
    <w:rsid w:val="00B56D9D"/>
    <w:rsid w:val="00B56DB5"/>
    <w:rsid w:val="00B56FC5"/>
    <w:rsid w:val="00B57A4E"/>
    <w:rsid w:val="00B57C62"/>
    <w:rsid w:val="00B60070"/>
    <w:rsid w:val="00B60F73"/>
    <w:rsid w:val="00B6113C"/>
    <w:rsid w:val="00B6126B"/>
    <w:rsid w:val="00B6161F"/>
    <w:rsid w:val="00B61822"/>
    <w:rsid w:val="00B618D4"/>
    <w:rsid w:val="00B61BD8"/>
    <w:rsid w:val="00B628DF"/>
    <w:rsid w:val="00B62A29"/>
    <w:rsid w:val="00B62F93"/>
    <w:rsid w:val="00B63020"/>
    <w:rsid w:val="00B637AF"/>
    <w:rsid w:val="00B64419"/>
    <w:rsid w:val="00B64697"/>
    <w:rsid w:val="00B649B3"/>
    <w:rsid w:val="00B65106"/>
    <w:rsid w:val="00B654EF"/>
    <w:rsid w:val="00B65A26"/>
    <w:rsid w:val="00B6689B"/>
    <w:rsid w:val="00B66E42"/>
    <w:rsid w:val="00B670AE"/>
    <w:rsid w:val="00B7091C"/>
    <w:rsid w:val="00B7201A"/>
    <w:rsid w:val="00B72748"/>
    <w:rsid w:val="00B730FF"/>
    <w:rsid w:val="00B74570"/>
    <w:rsid w:val="00B74930"/>
    <w:rsid w:val="00B74DCE"/>
    <w:rsid w:val="00B75418"/>
    <w:rsid w:val="00B7584E"/>
    <w:rsid w:val="00B76115"/>
    <w:rsid w:val="00B762E8"/>
    <w:rsid w:val="00B76E34"/>
    <w:rsid w:val="00B818C6"/>
    <w:rsid w:val="00B81EA5"/>
    <w:rsid w:val="00B8262A"/>
    <w:rsid w:val="00B82913"/>
    <w:rsid w:val="00B8370C"/>
    <w:rsid w:val="00B83B91"/>
    <w:rsid w:val="00B8425B"/>
    <w:rsid w:val="00B842FD"/>
    <w:rsid w:val="00B84547"/>
    <w:rsid w:val="00B84969"/>
    <w:rsid w:val="00B84A77"/>
    <w:rsid w:val="00B852E8"/>
    <w:rsid w:val="00B8663E"/>
    <w:rsid w:val="00B86768"/>
    <w:rsid w:val="00B8694E"/>
    <w:rsid w:val="00B86A66"/>
    <w:rsid w:val="00B876E1"/>
    <w:rsid w:val="00B9042B"/>
    <w:rsid w:val="00B928E3"/>
    <w:rsid w:val="00B92F5F"/>
    <w:rsid w:val="00B933A5"/>
    <w:rsid w:val="00B93C52"/>
    <w:rsid w:val="00B93D8C"/>
    <w:rsid w:val="00B93E3D"/>
    <w:rsid w:val="00B94470"/>
    <w:rsid w:val="00B953A1"/>
    <w:rsid w:val="00B95700"/>
    <w:rsid w:val="00B9584E"/>
    <w:rsid w:val="00B95956"/>
    <w:rsid w:val="00B95961"/>
    <w:rsid w:val="00B95E5A"/>
    <w:rsid w:val="00B95EDF"/>
    <w:rsid w:val="00B970F3"/>
    <w:rsid w:val="00B97A78"/>
    <w:rsid w:val="00BA0776"/>
    <w:rsid w:val="00BA122B"/>
    <w:rsid w:val="00BA1D2C"/>
    <w:rsid w:val="00BA1D75"/>
    <w:rsid w:val="00BA21F3"/>
    <w:rsid w:val="00BA2B5B"/>
    <w:rsid w:val="00BA32CD"/>
    <w:rsid w:val="00BA3FEF"/>
    <w:rsid w:val="00BA4E21"/>
    <w:rsid w:val="00BA55DE"/>
    <w:rsid w:val="00BA5DF9"/>
    <w:rsid w:val="00BA6640"/>
    <w:rsid w:val="00BA736A"/>
    <w:rsid w:val="00BA776E"/>
    <w:rsid w:val="00BA7BDF"/>
    <w:rsid w:val="00BB0191"/>
    <w:rsid w:val="00BB0756"/>
    <w:rsid w:val="00BB0B8C"/>
    <w:rsid w:val="00BB1C98"/>
    <w:rsid w:val="00BB1F67"/>
    <w:rsid w:val="00BB288F"/>
    <w:rsid w:val="00BB2B4C"/>
    <w:rsid w:val="00BB2E44"/>
    <w:rsid w:val="00BB312C"/>
    <w:rsid w:val="00BB31F8"/>
    <w:rsid w:val="00BB3349"/>
    <w:rsid w:val="00BB40D5"/>
    <w:rsid w:val="00BB43F4"/>
    <w:rsid w:val="00BB4B28"/>
    <w:rsid w:val="00BB4BCF"/>
    <w:rsid w:val="00BB4D1E"/>
    <w:rsid w:val="00BB5EA2"/>
    <w:rsid w:val="00BB6273"/>
    <w:rsid w:val="00BB7744"/>
    <w:rsid w:val="00BC0007"/>
    <w:rsid w:val="00BC055B"/>
    <w:rsid w:val="00BC0691"/>
    <w:rsid w:val="00BC0704"/>
    <w:rsid w:val="00BC0B90"/>
    <w:rsid w:val="00BC18DE"/>
    <w:rsid w:val="00BC196A"/>
    <w:rsid w:val="00BC23FC"/>
    <w:rsid w:val="00BC24E8"/>
    <w:rsid w:val="00BC2815"/>
    <w:rsid w:val="00BC296C"/>
    <w:rsid w:val="00BC2C51"/>
    <w:rsid w:val="00BC3552"/>
    <w:rsid w:val="00BC3F29"/>
    <w:rsid w:val="00BC4123"/>
    <w:rsid w:val="00BC4972"/>
    <w:rsid w:val="00BC4F60"/>
    <w:rsid w:val="00BC618B"/>
    <w:rsid w:val="00BC691C"/>
    <w:rsid w:val="00BC69EA"/>
    <w:rsid w:val="00BD03EE"/>
    <w:rsid w:val="00BD0D8F"/>
    <w:rsid w:val="00BD107B"/>
    <w:rsid w:val="00BD1A95"/>
    <w:rsid w:val="00BD1BDA"/>
    <w:rsid w:val="00BD1C85"/>
    <w:rsid w:val="00BD232A"/>
    <w:rsid w:val="00BD3D62"/>
    <w:rsid w:val="00BD4688"/>
    <w:rsid w:val="00BD4B22"/>
    <w:rsid w:val="00BD4D4B"/>
    <w:rsid w:val="00BD4EC9"/>
    <w:rsid w:val="00BD57D1"/>
    <w:rsid w:val="00BD5C00"/>
    <w:rsid w:val="00BD5D94"/>
    <w:rsid w:val="00BD5E78"/>
    <w:rsid w:val="00BD6010"/>
    <w:rsid w:val="00BD7049"/>
    <w:rsid w:val="00BD76EB"/>
    <w:rsid w:val="00BD7BB9"/>
    <w:rsid w:val="00BE006C"/>
    <w:rsid w:val="00BE0094"/>
    <w:rsid w:val="00BE0180"/>
    <w:rsid w:val="00BE063E"/>
    <w:rsid w:val="00BE0EC1"/>
    <w:rsid w:val="00BE19A2"/>
    <w:rsid w:val="00BE2873"/>
    <w:rsid w:val="00BE3370"/>
    <w:rsid w:val="00BE5252"/>
    <w:rsid w:val="00BE6464"/>
    <w:rsid w:val="00BE6A98"/>
    <w:rsid w:val="00BE6FB5"/>
    <w:rsid w:val="00BE750C"/>
    <w:rsid w:val="00BE7581"/>
    <w:rsid w:val="00BF13BC"/>
    <w:rsid w:val="00BF190A"/>
    <w:rsid w:val="00BF1A98"/>
    <w:rsid w:val="00BF1F6E"/>
    <w:rsid w:val="00BF212B"/>
    <w:rsid w:val="00BF23D4"/>
    <w:rsid w:val="00BF2CDE"/>
    <w:rsid w:val="00BF2E3E"/>
    <w:rsid w:val="00BF3047"/>
    <w:rsid w:val="00BF3559"/>
    <w:rsid w:val="00BF44B6"/>
    <w:rsid w:val="00BF44D0"/>
    <w:rsid w:val="00BF4D66"/>
    <w:rsid w:val="00BF59E0"/>
    <w:rsid w:val="00BF678A"/>
    <w:rsid w:val="00BF6D9C"/>
    <w:rsid w:val="00BF70AD"/>
    <w:rsid w:val="00C0031A"/>
    <w:rsid w:val="00C01364"/>
    <w:rsid w:val="00C014DF"/>
    <w:rsid w:val="00C016C2"/>
    <w:rsid w:val="00C028EB"/>
    <w:rsid w:val="00C05106"/>
    <w:rsid w:val="00C07C29"/>
    <w:rsid w:val="00C07E6C"/>
    <w:rsid w:val="00C10182"/>
    <w:rsid w:val="00C103E4"/>
    <w:rsid w:val="00C109A2"/>
    <w:rsid w:val="00C109A7"/>
    <w:rsid w:val="00C109A9"/>
    <w:rsid w:val="00C11CE7"/>
    <w:rsid w:val="00C11E1F"/>
    <w:rsid w:val="00C1230F"/>
    <w:rsid w:val="00C1264B"/>
    <w:rsid w:val="00C12BBC"/>
    <w:rsid w:val="00C13132"/>
    <w:rsid w:val="00C13D38"/>
    <w:rsid w:val="00C13EA1"/>
    <w:rsid w:val="00C15F9C"/>
    <w:rsid w:val="00C16807"/>
    <w:rsid w:val="00C16AFE"/>
    <w:rsid w:val="00C16B13"/>
    <w:rsid w:val="00C16E37"/>
    <w:rsid w:val="00C173F3"/>
    <w:rsid w:val="00C20027"/>
    <w:rsid w:val="00C2080A"/>
    <w:rsid w:val="00C20A28"/>
    <w:rsid w:val="00C2107F"/>
    <w:rsid w:val="00C21766"/>
    <w:rsid w:val="00C21DE0"/>
    <w:rsid w:val="00C22665"/>
    <w:rsid w:val="00C229E4"/>
    <w:rsid w:val="00C22ADA"/>
    <w:rsid w:val="00C22AF4"/>
    <w:rsid w:val="00C22EDD"/>
    <w:rsid w:val="00C2429B"/>
    <w:rsid w:val="00C24481"/>
    <w:rsid w:val="00C24694"/>
    <w:rsid w:val="00C24C1F"/>
    <w:rsid w:val="00C24CB1"/>
    <w:rsid w:val="00C25362"/>
    <w:rsid w:val="00C25CAF"/>
    <w:rsid w:val="00C25D05"/>
    <w:rsid w:val="00C26527"/>
    <w:rsid w:val="00C2727E"/>
    <w:rsid w:val="00C27590"/>
    <w:rsid w:val="00C27C7C"/>
    <w:rsid w:val="00C306C5"/>
    <w:rsid w:val="00C3123D"/>
    <w:rsid w:val="00C31543"/>
    <w:rsid w:val="00C31BEC"/>
    <w:rsid w:val="00C326F2"/>
    <w:rsid w:val="00C32C23"/>
    <w:rsid w:val="00C3303F"/>
    <w:rsid w:val="00C33391"/>
    <w:rsid w:val="00C33565"/>
    <w:rsid w:val="00C33582"/>
    <w:rsid w:val="00C339C2"/>
    <w:rsid w:val="00C33A8F"/>
    <w:rsid w:val="00C33B65"/>
    <w:rsid w:val="00C3410F"/>
    <w:rsid w:val="00C3494F"/>
    <w:rsid w:val="00C34DA8"/>
    <w:rsid w:val="00C34F01"/>
    <w:rsid w:val="00C3628C"/>
    <w:rsid w:val="00C3717D"/>
    <w:rsid w:val="00C37200"/>
    <w:rsid w:val="00C37819"/>
    <w:rsid w:val="00C4217A"/>
    <w:rsid w:val="00C42771"/>
    <w:rsid w:val="00C42EA8"/>
    <w:rsid w:val="00C43E85"/>
    <w:rsid w:val="00C4448D"/>
    <w:rsid w:val="00C444C4"/>
    <w:rsid w:val="00C44682"/>
    <w:rsid w:val="00C44AE9"/>
    <w:rsid w:val="00C469ED"/>
    <w:rsid w:val="00C4761F"/>
    <w:rsid w:val="00C476E2"/>
    <w:rsid w:val="00C501AF"/>
    <w:rsid w:val="00C506D9"/>
    <w:rsid w:val="00C51B6E"/>
    <w:rsid w:val="00C5257D"/>
    <w:rsid w:val="00C5268D"/>
    <w:rsid w:val="00C52764"/>
    <w:rsid w:val="00C52846"/>
    <w:rsid w:val="00C52C4B"/>
    <w:rsid w:val="00C52E9A"/>
    <w:rsid w:val="00C53A8B"/>
    <w:rsid w:val="00C53C61"/>
    <w:rsid w:val="00C54137"/>
    <w:rsid w:val="00C546A4"/>
    <w:rsid w:val="00C554ED"/>
    <w:rsid w:val="00C55D32"/>
    <w:rsid w:val="00C60E3C"/>
    <w:rsid w:val="00C61155"/>
    <w:rsid w:val="00C61CEF"/>
    <w:rsid w:val="00C61DAA"/>
    <w:rsid w:val="00C62068"/>
    <w:rsid w:val="00C62C46"/>
    <w:rsid w:val="00C63467"/>
    <w:rsid w:val="00C63470"/>
    <w:rsid w:val="00C63FC5"/>
    <w:rsid w:val="00C643D9"/>
    <w:rsid w:val="00C644BA"/>
    <w:rsid w:val="00C646BD"/>
    <w:rsid w:val="00C6475F"/>
    <w:rsid w:val="00C64D77"/>
    <w:rsid w:val="00C65378"/>
    <w:rsid w:val="00C655A0"/>
    <w:rsid w:val="00C65D82"/>
    <w:rsid w:val="00C65D9E"/>
    <w:rsid w:val="00C65DAC"/>
    <w:rsid w:val="00C661BC"/>
    <w:rsid w:val="00C66598"/>
    <w:rsid w:val="00C6677D"/>
    <w:rsid w:val="00C66C3D"/>
    <w:rsid w:val="00C67471"/>
    <w:rsid w:val="00C7046C"/>
    <w:rsid w:val="00C704E0"/>
    <w:rsid w:val="00C71D74"/>
    <w:rsid w:val="00C723C3"/>
    <w:rsid w:val="00C73245"/>
    <w:rsid w:val="00C7402B"/>
    <w:rsid w:val="00C74372"/>
    <w:rsid w:val="00C746DA"/>
    <w:rsid w:val="00C75587"/>
    <w:rsid w:val="00C7561D"/>
    <w:rsid w:val="00C7670E"/>
    <w:rsid w:val="00C76850"/>
    <w:rsid w:val="00C77D28"/>
    <w:rsid w:val="00C803F5"/>
    <w:rsid w:val="00C818A1"/>
    <w:rsid w:val="00C81C9C"/>
    <w:rsid w:val="00C81E3E"/>
    <w:rsid w:val="00C82163"/>
    <w:rsid w:val="00C82BCF"/>
    <w:rsid w:val="00C83952"/>
    <w:rsid w:val="00C83A08"/>
    <w:rsid w:val="00C83C22"/>
    <w:rsid w:val="00C83E31"/>
    <w:rsid w:val="00C84268"/>
    <w:rsid w:val="00C846F3"/>
    <w:rsid w:val="00C84AFC"/>
    <w:rsid w:val="00C84B8A"/>
    <w:rsid w:val="00C85DB4"/>
    <w:rsid w:val="00C8706A"/>
    <w:rsid w:val="00C903F0"/>
    <w:rsid w:val="00C90771"/>
    <w:rsid w:val="00C91284"/>
    <w:rsid w:val="00C912DD"/>
    <w:rsid w:val="00C91AD2"/>
    <w:rsid w:val="00C91EE8"/>
    <w:rsid w:val="00C92205"/>
    <w:rsid w:val="00C925E2"/>
    <w:rsid w:val="00C934E9"/>
    <w:rsid w:val="00C93AD7"/>
    <w:rsid w:val="00C941AE"/>
    <w:rsid w:val="00C942D7"/>
    <w:rsid w:val="00C94504"/>
    <w:rsid w:val="00C95301"/>
    <w:rsid w:val="00C955AA"/>
    <w:rsid w:val="00C95F13"/>
    <w:rsid w:val="00C973EC"/>
    <w:rsid w:val="00C9755E"/>
    <w:rsid w:val="00C97F76"/>
    <w:rsid w:val="00C97F97"/>
    <w:rsid w:val="00CA00DD"/>
    <w:rsid w:val="00CA0935"/>
    <w:rsid w:val="00CA0E96"/>
    <w:rsid w:val="00CA1FD6"/>
    <w:rsid w:val="00CA2104"/>
    <w:rsid w:val="00CA2AD1"/>
    <w:rsid w:val="00CA2FED"/>
    <w:rsid w:val="00CA30FA"/>
    <w:rsid w:val="00CA31B4"/>
    <w:rsid w:val="00CA3912"/>
    <w:rsid w:val="00CA4192"/>
    <w:rsid w:val="00CA4A1A"/>
    <w:rsid w:val="00CA54B1"/>
    <w:rsid w:val="00CA54BB"/>
    <w:rsid w:val="00CA570B"/>
    <w:rsid w:val="00CA5EDA"/>
    <w:rsid w:val="00CA6070"/>
    <w:rsid w:val="00CA6196"/>
    <w:rsid w:val="00CA6B4E"/>
    <w:rsid w:val="00CA7060"/>
    <w:rsid w:val="00CA7583"/>
    <w:rsid w:val="00CA7C6B"/>
    <w:rsid w:val="00CB0033"/>
    <w:rsid w:val="00CB00F6"/>
    <w:rsid w:val="00CB0D27"/>
    <w:rsid w:val="00CB0DBA"/>
    <w:rsid w:val="00CB12F1"/>
    <w:rsid w:val="00CB1580"/>
    <w:rsid w:val="00CB1EE5"/>
    <w:rsid w:val="00CB3397"/>
    <w:rsid w:val="00CB3834"/>
    <w:rsid w:val="00CB3C27"/>
    <w:rsid w:val="00CB467C"/>
    <w:rsid w:val="00CB4C67"/>
    <w:rsid w:val="00CB5147"/>
    <w:rsid w:val="00CB6417"/>
    <w:rsid w:val="00CB6806"/>
    <w:rsid w:val="00CB734E"/>
    <w:rsid w:val="00CB7C47"/>
    <w:rsid w:val="00CC0C00"/>
    <w:rsid w:val="00CC10BA"/>
    <w:rsid w:val="00CC1A09"/>
    <w:rsid w:val="00CC223C"/>
    <w:rsid w:val="00CC22E7"/>
    <w:rsid w:val="00CC2D96"/>
    <w:rsid w:val="00CC2E38"/>
    <w:rsid w:val="00CC2E6E"/>
    <w:rsid w:val="00CC316B"/>
    <w:rsid w:val="00CC3653"/>
    <w:rsid w:val="00CC42D1"/>
    <w:rsid w:val="00CC4489"/>
    <w:rsid w:val="00CC5AEA"/>
    <w:rsid w:val="00CC7713"/>
    <w:rsid w:val="00CC7947"/>
    <w:rsid w:val="00CC7FD2"/>
    <w:rsid w:val="00CD06E9"/>
    <w:rsid w:val="00CD161D"/>
    <w:rsid w:val="00CD1C10"/>
    <w:rsid w:val="00CD1EE4"/>
    <w:rsid w:val="00CD1EEC"/>
    <w:rsid w:val="00CD21BD"/>
    <w:rsid w:val="00CD2795"/>
    <w:rsid w:val="00CD3DC1"/>
    <w:rsid w:val="00CD5322"/>
    <w:rsid w:val="00CD580E"/>
    <w:rsid w:val="00CD5FD7"/>
    <w:rsid w:val="00CD63F1"/>
    <w:rsid w:val="00CD6C94"/>
    <w:rsid w:val="00CD7734"/>
    <w:rsid w:val="00CD7E6F"/>
    <w:rsid w:val="00CD7ED1"/>
    <w:rsid w:val="00CE0057"/>
    <w:rsid w:val="00CE0328"/>
    <w:rsid w:val="00CE10A3"/>
    <w:rsid w:val="00CE1A52"/>
    <w:rsid w:val="00CE2300"/>
    <w:rsid w:val="00CE284E"/>
    <w:rsid w:val="00CE296F"/>
    <w:rsid w:val="00CE2CDD"/>
    <w:rsid w:val="00CE2EFA"/>
    <w:rsid w:val="00CE3573"/>
    <w:rsid w:val="00CE493E"/>
    <w:rsid w:val="00CE496C"/>
    <w:rsid w:val="00CE49CA"/>
    <w:rsid w:val="00CE4A29"/>
    <w:rsid w:val="00CE5A0B"/>
    <w:rsid w:val="00CE5A73"/>
    <w:rsid w:val="00CE5E2B"/>
    <w:rsid w:val="00CE6043"/>
    <w:rsid w:val="00CE624B"/>
    <w:rsid w:val="00CE6282"/>
    <w:rsid w:val="00CE62DA"/>
    <w:rsid w:val="00CE6A2F"/>
    <w:rsid w:val="00CE799F"/>
    <w:rsid w:val="00CE7BAD"/>
    <w:rsid w:val="00CE7EDD"/>
    <w:rsid w:val="00CF025D"/>
    <w:rsid w:val="00CF0F0A"/>
    <w:rsid w:val="00CF12A0"/>
    <w:rsid w:val="00CF1E88"/>
    <w:rsid w:val="00CF1FAC"/>
    <w:rsid w:val="00CF2500"/>
    <w:rsid w:val="00CF263E"/>
    <w:rsid w:val="00CF2C8D"/>
    <w:rsid w:val="00CF3A9A"/>
    <w:rsid w:val="00CF44F7"/>
    <w:rsid w:val="00CF4A2E"/>
    <w:rsid w:val="00CF4DAD"/>
    <w:rsid w:val="00CF63AA"/>
    <w:rsid w:val="00CF65DA"/>
    <w:rsid w:val="00CF67CD"/>
    <w:rsid w:val="00D0054B"/>
    <w:rsid w:val="00D02AA6"/>
    <w:rsid w:val="00D02B83"/>
    <w:rsid w:val="00D02C40"/>
    <w:rsid w:val="00D02E6B"/>
    <w:rsid w:val="00D03D2F"/>
    <w:rsid w:val="00D04033"/>
    <w:rsid w:val="00D04344"/>
    <w:rsid w:val="00D047AE"/>
    <w:rsid w:val="00D05D1B"/>
    <w:rsid w:val="00D05FAE"/>
    <w:rsid w:val="00D06052"/>
    <w:rsid w:val="00D062B2"/>
    <w:rsid w:val="00D06418"/>
    <w:rsid w:val="00D067E6"/>
    <w:rsid w:val="00D0685B"/>
    <w:rsid w:val="00D06CCF"/>
    <w:rsid w:val="00D07346"/>
    <w:rsid w:val="00D07B3B"/>
    <w:rsid w:val="00D10F38"/>
    <w:rsid w:val="00D1178F"/>
    <w:rsid w:val="00D11877"/>
    <w:rsid w:val="00D119F9"/>
    <w:rsid w:val="00D11C4C"/>
    <w:rsid w:val="00D13A1A"/>
    <w:rsid w:val="00D143D4"/>
    <w:rsid w:val="00D146AD"/>
    <w:rsid w:val="00D14F90"/>
    <w:rsid w:val="00D15148"/>
    <w:rsid w:val="00D15AA9"/>
    <w:rsid w:val="00D16022"/>
    <w:rsid w:val="00D160C9"/>
    <w:rsid w:val="00D161F3"/>
    <w:rsid w:val="00D1637E"/>
    <w:rsid w:val="00D163ED"/>
    <w:rsid w:val="00D1739D"/>
    <w:rsid w:val="00D17D20"/>
    <w:rsid w:val="00D2090E"/>
    <w:rsid w:val="00D2309F"/>
    <w:rsid w:val="00D23688"/>
    <w:rsid w:val="00D23B81"/>
    <w:rsid w:val="00D253B7"/>
    <w:rsid w:val="00D25EA6"/>
    <w:rsid w:val="00D25F78"/>
    <w:rsid w:val="00D26B58"/>
    <w:rsid w:val="00D2721C"/>
    <w:rsid w:val="00D27267"/>
    <w:rsid w:val="00D27BF9"/>
    <w:rsid w:val="00D30BDA"/>
    <w:rsid w:val="00D32224"/>
    <w:rsid w:val="00D32BC0"/>
    <w:rsid w:val="00D33397"/>
    <w:rsid w:val="00D335AE"/>
    <w:rsid w:val="00D34C3E"/>
    <w:rsid w:val="00D36AA2"/>
    <w:rsid w:val="00D36F74"/>
    <w:rsid w:val="00D403FA"/>
    <w:rsid w:val="00D40530"/>
    <w:rsid w:val="00D40699"/>
    <w:rsid w:val="00D40E26"/>
    <w:rsid w:val="00D4104D"/>
    <w:rsid w:val="00D4118E"/>
    <w:rsid w:val="00D427AD"/>
    <w:rsid w:val="00D429EE"/>
    <w:rsid w:val="00D42A57"/>
    <w:rsid w:val="00D42ACB"/>
    <w:rsid w:val="00D43014"/>
    <w:rsid w:val="00D44547"/>
    <w:rsid w:val="00D454A6"/>
    <w:rsid w:val="00D45753"/>
    <w:rsid w:val="00D45881"/>
    <w:rsid w:val="00D45AF8"/>
    <w:rsid w:val="00D46A3E"/>
    <w:rsid w:val="00D46F12"/>
    <w:rsid w:val="00D46F30"/>
    <w:rsid w:val="00D470DA"/>
    <w:rsid w:val="00D471B9"/>
    <w:rsid w:val="00D50323"/>
    <w:rsid w:val="00D50DFC"/>
    <w:rsid w:val="00D523ED"/>
    <w:rsid w:val="00D52806"/>
    <w:rsid w:val="00D545A4"/>
    <w:rsid w:val="00D54AAD"/>
    <w:rsid w:val="00D5554C"/>
    <w:rsid w:val="00D55B8E"/>
    <w:rsid w:val="00D55D46"/>
    <w:rsid w:val="00D56A29"/>
    <w:rsid w:val="00D56DD2"/>
    <w:rsid w:val="00D57198"/>
    <w:rsid w:val="00D60FC0"/>
    <w:rsid w:val="00D612AF"/>
    <w:rsid w:val="00D62CE3"/>
    <w:rsid w:val="00D63FBF"/>
    <w:rsid w:val="00D64D5B"/>
    <w:rsid w:val="00D653B7"/>
    <w:rsid w:val="00D663D4"/>
    <w:rsid w:val="00D6725F"/>
    <w:rsid w:val="00D67BE7"/>
    <w:rsid w:val="00D67E96"/>
    <w:rsid w:val="00D70CE1"/>
    <w:rsid w:val="00D71831"/>
    <w:rsid w:val="00D71A79"/>
    <w:rsid w:val="00D727A1"/>
    <w:rsid w:val="00D72E72"/>
    <w:rsid w:val="00D7417E"/>
    <w:rsid w:val="00D74FF5"/>
    <w:rsid w:val="00D7534C"/>
    <w:rsid w:val="00D759C8"/>
    <w:rsid w:val="00D764F6"/>
    <w:rsid w:val="00D7669A"/>
    <w:rsid w:val="00D76DF3"/>
    <w:rsid w:val="00D77F41"/>
    <w:rsid w:val="00D80EB9"/>
    <w:rsid w:val="00D81703"/>
    <w:rsid w:val="00D81A2D"/>
    <w:rsid w:val="00D81A5F"/>
    <w:rsid w:val="00D82104"/>
    <w:rsid w:val="00D828CF"/>
    <w:rsid w:val="00D83E57"/>
    <w:rsid w:val="00D8427A"/>
    <w:rsid w:val="00D849A1"/>
    <w:rsid w:val="00D84A2A"/>
    <w:rsid w:val="00D84F01"/>
    <w:rsid w:val="00D86056"/>
    <w:rsid w:val="00D86DC1"/>
    <w:rsid w:val="00D86E30"/>
    <w:rsid w:val="00D8718E"/>
    <w:rsid w:val="00D87AAA"/>
    <w:rsid w:val="00D913A8"/>
    <w:rsid w:val="00D916A4"/>
    <w:rsid w:val="00D91769"/>
    <w:rsid w:val="00D928D1"/>
    <w:rsid w:val="00D93040"/>
    <w:rsid w:val="00D9354F"/>
    <w:rsid w:val="00D93D3A"/>
    <w:rsid w:val="00D94322"/>
    <w:rsid w:val="00D94444"/>
    <w:rsid w:val="00D95296"/>
    <w:rsid w:val="00D9555D"/>
    <w:rsid w:val="00D956B0"/>
    <w:rsid w:val="00D96FCF"/>
    <w:rsid w:val="00D978D5"/>
    <w:rsid w:val="00DA0706"/>
    <w:rsid w:val="00DA07F0"/>
    <w:rsid w:val="00DA086F"/>
    <w:rsid w:val="00DA0B73"/>
    <w:rsid w:val="00DA0C9B"/>
    <w:rsid w:val="00DA123E"/>
    <w:rsid w:val="00DA237B"/>
    <w:rsid w:val="00DA35BA"/>
    <w:rsid w:val="00DA3647"/>
    <w:rsid w:val="00DA37B0"/>
    <w:rsid w:val="00DA3D13"/>
    <w:rsid w:val="00DA41C5"/>
    <w:rsid w:val="00DA45D0"/>
    <w:rsid w:val="00DA4A61"/>
    <w:rsid w:val="00DA6349"/>
    <w:rsid w:val="00DA65CA"/>
    <w:rsid w:val="00DA6A6E"/>
    <w:rsid w:val="00DA7FAD"/>
    <w:rsid w:val="00DB0F73"/>
    <w:rsid w:val="00DB22C9"/>
    <w:rsid w:val="00DB39A5"/>
    <w:rsid w:val="00DB3E0A"/>
    <w:rsid w:val="00DB4847"/>
    <w:rsid w:val="00DB52F9"/>
    <w:rsid w:val="00DB6692"/>
    <w:rsid w:val="00DB680D"/>
    <w:rsid w:val="00DB68A0"/>
    <w:rsid w:val="00DB722E"/>
    <w:rsid w:val="00DC0449"/>
    <w:rsid w:val="00DC052D"/>
    <w:rsid w:val="00DC0817"/>
    <w:rsid w:val="00DC13F6"/>
    <w:rsid w:val="00DC2EE9"/>
    <w:rsid w:val="00DC313B"/>
    <w:rsid w:val="00DC386A"/>
    <w:rsid w:val="00DC41C3"/>
    <w:rsid w:val="00DC446E"/>
    <w:rsid w:val="00DC44DF"/>
    <w:rsid w:val="00DC48C3"/>
    <w:rsid w:val="00DC4EC8"/>
    <w:rsid w:val="00DC57D3"/>
    <w:rsid w:val="00DC5E39"/>
    <w:rsid w:val="00DC5F13"/>
    <w:rsid w:val="00DC6115"/>
    <w:rsid w:val="00DC69CC"/>
    <w:rsid w:val="00DC6A36"/>
    <w:rsid w:val="00DC71C8"/>
    <w:rsid w:val="00DC7288"/>
    <w:rsid w:val="00DC7356"/>
    <w:rsid w:val="00DD02AB"/>
    <w:rsid w:val="00DD0335"/>
    <w:rsid w:val="00DD06F3"/>
    <w:rsid w:val="00DD11B3"/>
    <w:rsid w:val="00DD12EE"/>
    <w:rsid w:val="00DD1AB6"/>
    <w:rsid w:val="00DD2121"/>
    <w:rsid w:val="00DD3489"/>
    <w:rsid w:val="00DD4B03"/>
    <w:rsid w:val="00DD546C"/>
    <w:rsid w:val="00DD59E3"/>
    <w:rsid w:val="00DD5D78"/>
    <w:rsid w:val="00DD61CE"/>
    <w:rsid w:val="00DE0F0B"/>
    <w:rsid w:val="00DE14E6"/>
    <w:rsid w:val="00DE1DA5"/>
    <w:rsid w:val="00DE1E0E"/>
    <w:rsid w:val="00DE222E"/>
    <w:rsid w:val="00DE2916"/>
    <w:rsid w:val="00DE2C08"/>
    <w:rsid w:val="00DE2EF1"/>
    <w:rsid w:val="00DE3022"/>
    <w:rsid w:val="00DE4BBE"/>
    <w:rsid w:val="00DE52F9"/>
    <w:rsid w:val="00DE7596"/>
    <w:rsid w:val="00DE75CF"/>
    <w:rsid w:val="00DE7947"/>
    <w:rsid w:val="00DE7A52"/>
    <w:rsid w:val="00DE7C0C"/>
    <w:rsid w:val="00DE7C3D"/>
    <w:rsid w:val="00DE7E44"/>
    <w:rsid w:val="00DF0116"/>
    <w:rsid w:val="00DF089E"/>
    <w:rsid w:val="00DF0D50"/>
    <w:rsid w:val="00DF0EF9"/>
    <w:rsid w:val="00DF16B8"/>
    <w:rsid w:val="00DF1B64"/>
    <w:rsid w:val="00DF202C"/>
    <w:rsid w:val="00DF2345"/>
    <w:rsid w:val="00DF2588"/>
    <w:rsid w:val="00DF25A8"/>
    <w:rsid w:val="00DF26A7"/>
    <w:rsid w:val="00DF29B3"/>
    <w:rsid w:val="00DF2DC0"/>
    <w:rsid w:val="00DF3097"/>
    <w:rsid w:val="00DF3FDC"/>
    <w:rsid w:val="00DF5FB9"/>
    <w:rsid w:val="00DF6FFB"/>
    <w:rsid w:val="00DF7160"/>
    <w:rsid w:val="00DF7593"/>
    <w:rsid w:val="00E00040"/>
    <w:rsid w:val="00E00044"/>
    <w:rsid w:val="00E01352"/>
    <w:rsid w:val="00E01C04"/>
    <w:rsid w:val="00E02592"/>
    <w:rsid w:val="00E02F26"/>
    <w:rsid w:val="00E04D27"/>
    <w:rsid w:val="00E0625E"/>
    <w:rsid w:val="00E07847"/>
    <w:rsid w:val="00E11992"/>
    <w:rsid w:val="00E122D5"/>
    <w:rsid w:val="00E12A46"/>
    <w:rsid w:val="00E14D0C"/>
    <w:rsid w:val="00E15304"/>
    <w:rsid w:val="00E15346"/>
    <w:rsid w:val="00E15B93"/>
    <w:rsid w:val="00E167FB"/>
    <w:rsid w:val="00E17DCE"/>
    <w:rsid w:val="00E20EFA"/>
    <w:rsid w:val="00E22BE9"/>
    <w:rsid w:val="00E22F57"/>
    <w:rsid w:val="00E236EC"/>
    <w:rsid w:val="00E24DE2"/>
    <w:rsid w:val="00E260E4"/>
    <w:rsid w:val="00E267F4"/>
    <w:rsid w:val="00E268B6"/>
    <w:rsid w:val="00E26D76"/>
    <w:rsid w:val="00E2734D"/>
    <w:rsid w:val="00E27350"/>
    <w:rsid w:val="00E27482"/>
    <w:rsid w:val="00E2776F"/>
    <w:rsid w:val="00E3090D"/>
    <w:rsid w:val="00E30EFE"/>
    <w:rsid w:val="00E31251"/>
    <w:rsid w:val="00E3148A"/>
    <w:rsid w:val="00E32BFE"/>
    <w:rsid w:val="00E32D39"/>
    <w:rsid w:val="00E33333"/>
    <w:rsid w:val="00E33B57"/>
    <w:rsid w:val="00E34007"/>
    <w:rsid w:val="00E340E5"/>
    <w:rsid w:val="00E34571"/>
    <w:rsid w:val="00E3469F"/>
    <w:rsid w:val="00E36449"/>
    <w:rsid w:val="00E3680B"/>
    <w:rsid w:val="00E36D0C"/>
    <w:rsid w:val="00E37910"/>
    <w:rsid w:val="00E379C9"/>
    <w:rsid w:val="00E40F16"/>
    <w:rsid w:val="00E41055"/>
    <w:rsid w:val="00E41F00"/>
    <w:rsid w:val="00E42107"/>
    <w:rsid w:val="00E422D0"/>
    <w:rsid w:val="00E42AD0"/>
    <w:rsid w:val="00E435B0"/>
    <w:rsid w:val="00E4371C"/>
    <w:rsid w:val="00E4375D"/>
    <w:rsid w:val="00E44210"/>
    <w:rsid w:val="00E44EDF"/>
    <w:rsid w:val="00E45588"/>
    <w:rsid w:val="00E46A45"/>
    <w:rsid w:val="00E46A97"/>
    <w:rsid w:val="00E47B35"/>
    <w:rsid w:val="00E50474"/>
    <w:rsid w:val="00E50A0A"/>
    <w:rsid w:val="00E51B27"/>
    <w:rsid w:val="00E51D9F"/>
    <w:rsid w:val="00E526B5"/>
    <w:rsid w:val="00E52769"/>
    <w:rsid w:val="00E53846"/>
    <w:rsid w:val="00E53879"/>
    <w:rsid w:val="00E5409D"/>
    <w:rsid w:val="00E54500"/>
    <w:rsid w:val="00E54D7D"/>
    <w:rsid w:val="00E55070"/>
    <w:rsid w:val="00E55F3B"/>
    <w:rsid w:val="00E5712B"/>
    <w:rsid w:val="00E57A37"/>
    <w:rsid w:val="00E60420"/>
    <w:rsid w:val="00E60905"/>
    <w:rsid w:val="00E610F6"/>
    <w:rsid w:val="00E615DA"/>
    <w:rsid w:val="00E616AC"/>
    <w:rsid w:val="00E6334A"/>
    <w:rsid w:val="00E6342F"/>
    <w:rsid w:val="00E64087"/>
    <w:rsid w:val="00E64234"/>
    <w:rsid w:val="00E6433D"/>
    <w:rsid w:val="00E656D8"/>
    <w:rsid w:val="00E65910"/>
    <w:rsid w:val="00E65C85"/>
    <w:rsid w:val="00E668EE"/>
    <w:rsid w:val="00E677AC"/>
    <w:rsid w:val="00E67FE2"/>
    <w:rsid w:val="00E70473"/>
    <w:rsid w:val="00E71135"/>
    <w:rsid w:val="00E722C2"/>
    <w:rsid w:val="00E72A05"/>
    <w:rsid w:val="00E72D72"/>
    <w:rsid w:val="00E744A6"/>
    <w:rsid w:val="00E744B6"/>
    <w:rsid w:val="00E74F29"/>
    <w:rsid w:val="00E75738"/>
    <w:rsid w:val="00E76C8B"/>
    <w:rsid w:val="00E772C8"/>
    <w:rsid w:val="00E7755D"/>
    <w:rsid w:val="00E775AC"/>
    <w:rsid w:val="00E7798D"/>
    <w:rsid w:val="00E803EC"/>
    <w:rsid w:val="00E80C66"/>
    <w:rsid w:val="00E814DF"/>
    <w:rsid w:val="00E81C20"/>
    <w:rsid w:val="00E822E1"/>
    <w:rsid w:val="00E82A08"/>
    <w:rsid w:val="00E82EB2"/>
    <w:rsid w:val="00E838AB"/>
    <w:rsid w:val="00E84025"/>
    <w:rsid w:val="00E84193"/>
    <w:rsid w:val="00E84555"/>
    <w:rsid w:val="00E85019"/>
    <w:rsid w:val="00E8570B"/>
    <w:rsid w:val="00E85AA7"/>
    <w:rsid w:val="00E8626C"/>
    <w:rsid w:val="00E869CC"/>
    <w:rsid w:val="00E86C77"/>
    <w:rsid w:val="00E86E6A"/>
    <w:rsid w:val="00E8719A"/>
    <w:rsid w:val="00E8725C"/>
    <w:rsid w:val="00E87CCB"/>
    <w:rsid w:val="00E9054D"/>
    <w:rsid w:val="00E9101C"/>
    <w:rsid w:val="00E913C2"/>
    <w:rsid w:val="00E91623"/>
    <w:rsid w:val="00E92934"/>
    <w:rsid w:val="00E92CAB"/>
    <w:rsid w:val="00E92D58"/>
    <w:rsid w:val="00E93095"/>
    <w:rsid w:val="00E93E0A"/>
    <w:rsid w:val="00E95052"/>
    <w:rsid w:val="00E9515D"/>
    <w:rsid w:val="00E951BA"/>
    <w:rsid w:val="00E95B83"/>
    <w:rsid w:val="00E95BA8"/>
    <w:rsid w:val="00E95BE0"/>
    <w:rsid w:val="00E95E26"/>
    <w:rsid w:val="00E96366"/>
    <w:rsid w:val="00E96D60"/>
    <w:rsid w:val="00E97ECD"/>
    <w:rsid w:val="00EA0827"/>
    <w:rsid w:val="00EA1035"/>
    <w:rsid w:val="00EA10F3"/>
    <w:rsid w:val="00EA2A61"/>
    <w:rsid w:val="00EA3117"/>
    <w:rsid w:val="00EA3C16"/>
    <w:rsid w:val="00EA4456"/>
    <w:rsid w:val="00EA487F"/>
    <w:rsid w:val="00EA4FDA"/>
    <w:rsid w:val="00EA56D8"/>
    <w:rsid w:val="00EA596B"/>
    <w:rsid w:val="00EA5BA8"/>
    <w:rsid w:val="00EA5C3F"/>
    <w:rsid w:val="00EA648A"/>
    <w:rsid w:val="00EA7295"/>
    <w:rsid w:val="00EA7751"/>
    <w:rsid w:val="00EB0074"/>
    <w:rsid w:val="00EB0199"/>
    <w:rsid w:val="00EB13E6"/>
    <w:rsid w:val="00EB13EA"/>
    <w:rsid w:val="00EB1646"/>
    <w:rsid w:val="00EB1DB9"/>
    <w:rsid w:val="00EB220B"/>
    <w:rsid w:val="00EB23D9"/>
    <w:rsid w:val="00EB26A1"/>
    <w:rsid w:val="00EB2B17"/>
    <w:rsid w:val="00EB33FC"/>
    <w:rsid w:val="00EB365D"/>
    <w:rsid w:val="00EB4131"/>
    <w:rsid w:val="00EB46C2"/>
    <w:rsid w:val="00EB4774"/>
    <w:rsid w:val="00EB558D"/>
    <w:rsid w:val="00EB5AB3"/>
    <w:rsid w:val="00EB5C95"/>
    <w:rsid w:val="00EB6314"/>
    <w:rsid w:val="00EB6BD3"/>
    <w:rsid w:val="00EB7309"/>
    <w:rsid w:val="00EB7736"/>
    <w:rsid w:val="00EB7B5D"/>
    <w:rsid w:val="00EC0713"/>
    <w:rsid w:val="00EC12F0"/>
    <w:rsid w:val="00EC1508"/>
    <w:rsid w:val="00EC17C7"/>
    <w:rsid w:val="00EC1D83"/>
    <w:rsid w:val="00EC224D"/>
    <w:rsid w:val="00EC25B4"/>
    <w:rsid w:val="00EC2620"/>
    <w:rsid w:val="00EC27E2"/>
    <w:rsid w:val="00EC30A7"/>
    <w:rsid w:val="00EC4215"/>
    <w:rsid w:val="00EC43FD"/>
    <w:rsid w:val="00EC4949"/>
    <w:rsid w:val="00EC51A9"/>
    <w:rsid w:val="00EC6025"/>
    <w:rsid w:val="00EC6A20"/>
    <w:rsid w:val="00EC73FC"/>
    <w:rsid w:val="00ED0003"/>
    <w:rsid w:val="00ED18C1"/>
    <w:rsid w:val="00ED194D"/>
    <w:rsid w:val="00ED1BD6"/>
    <w:rsid w:val="00ED1C93"/>
    <w:rsid w:val="00ED1D0D"/>
    <w:rsid w:val="00ED1E4F"/>
    <w:rsid w:val="00ED359B"/>
    <w:rsid w:val="00ED391B"/>
    <w:rsid w:val="00ED3EC1"/>
    <w:rsid w:val="00ED4139"/>
    <w:rsid w:val="00ED4890"/>
    <w:rsid w:val="00ED4C24"/>
    <w:rsid w:val="00ED5E8E"/>
    <w:rsid w:val="00ED5E90"/>
    <w:rsid w:val="00ED63FE"/>
    <w:rsid w:val="00ED685F"/>
    <w:rsid w:val="00ED6AF4"/>
    <w:rsid w:val="00ED6E6C"/>
    <w:rsid w:val="00ED7768"/>
    <w:rsid w:val="00EE060E"/>
    <w:rsid w:val="00EE0958"/>
    <w:rsid w:val="00EE27F0"/>
    <w:rsid w:val="00EE2A25"/>
    <w:rsid w:val="00EE2B45"/>
    <w:rsid w:val="00EE3AD1"/>
    <w:rsid w:val="00EE454F"/>
    <w:rsid w:val="00EE4A81"/>
    <w:rsid w:val="00EE4C6C"/>
    <w:rsid w:val="00EE4F30"/>
    <w:rsid w:val="00EE564A"/>
    <w:rsid w:val="00EE5D79"/>
    <w:rsid w:val="00EE6531"/>
    <w:rsid w:val="00EE6B76"/>
    <w:rsid w:val="00EE6EA2"/>
    <w:rsid w:val="00EE6EC5"/>
    <w:rsid w:val="00EE748D"/>
    <w:rsid w:val="00EE7C7F"/>
    <w:rsid w:val="00EF0861"/>
    <w:rsid w:val="00EF0C90"/>
    <w:rsid w:val="00EF10B4"/>
    <w:rsid w:val="00EF1148"/>
    <w:rsid w:val="00EF12FB"/>
    <w:rsid w:val="00EF1EAD"/>
    <w:rsid w:val="00EF1FAA"/>
    <w:rsid w:val="00EF2544"/>
    <w:rsid w:val="00EF2BBD"/>
    <w:rsid w:val="00EF3D71"/>
    <w:rsid w:val="00EF454D"/>
    <w:rsid w:val="00EF53EB"/>
    <w:rsid w:val="00EF5E28"/>
    <w:rsid w:val="00EF5E3A"/>
    <w:rsid w:val="00EF5E3F"/>
    <w:rsid w:val="00EF6C25"/>
    <w:rsid w:val="00EF7767"/>
    <w:rsid w:val="00EF79B8"/>
    <w:rsid w:val="00EF7B11"/>
    <w:rsid w:val="00F021BA"/>
    <w:rsid w:val="00F02265"/>
    <w:rsid w:val="00F02682"/>
    <w:rsid w:val="00F03263"/>
    <w:rsid w:val="00F03A07"/>
    <w:rsid w:val="00F03E57"/>
    <w:rsid w:val="00F046E9"/>
    <w:rsid w:val="00F04707"/>
    <w:rsid w:val="00F0474C"/>
    <w:rsid w:val="00F04885"/>
    <w:rsid w:val="00F05CA2"/>
    <w:rsid w:val="00F06EFB"/>
    <w:rsid w:val="00F07EB6"/>
    <w:rsid w:val="00F10692"/>
    <w:rsid w:val="00F10793"/>
    <w:rsid w:val="00F112AF"/>
    <w:rsid w:val="00F11699"/>
    <w:rsid w:val="00F11EDD"/>
    <w:rsid w:val="00F1397C"/>
    <w:rsid w:val="00F1436F"/>
    <w:rsid w:val="00F14383"/>
    <w:rsid w:val="00F15D58"/>
    <w:rsid w:val="00F1612F"/>
    <w:rsid w:val="00F16A76"/>
    <w:rsid w:val="00F1720D"/>
    <w:rsid w:val="00F20B4B"/>
    <w:rsid w:val="00F21D60"/>
    <w:rsid w:val="00F21FD1"/>
    <w:rsid w:val="00F225C8"/>
    <w:rsid w:val="00F231F7"/>
    <w:rsid w:val="00F234A2"/>
    <w:rsid w:val="00F23EE7"/>
    <w:rsid w:val="00F24116"/>
    <w:rsid w:val="00F24144"/>
    <w:rsid w:val="00F24551"/>
    <w:rsid w:val="00F24ACC"/>
    <w:rsid w:val="00F24B26"/>
    <w:rsid w:val="00F25AC0"/>
    <w:rsid w:val="00F25D58"/>
    <w:rsid w:val="00F2626A"/>
    <w:rsid w:val="00F2683E"/>
    <w:rsid w:val="00F268F4"/>
    <w:rsid w:val="00F27834"/>
    <w:rsid w:val="00F27FB1"/>
    <w:rsid w:val="00F31CF8"/>
    <w:rsid w:val="00F320D5"/>
    <w:rsid w:val="00F320DA"/>
    <w:rsid w:val="00F323EB"/>
    <w:rsid w:val="00F32894"/>
    <w:rsid w:val="00F33071"/>
    <w:rsid w:val="00F33F2B"/>
    <w:rsid w:val="00F347CB"/>
    <w:rsid w:val="00F349C2"/>
    <w:rsid w:val="00F35A7B"/>
    <w:rsid w:val="00F36A53"/>
    <w:rsid w:val="00F36B8D"/>
    <w:rsid w:val="00F377EF"/>
    <w:rsid w:val="00F3790C"/>
    <w:rsid w:val="00F37F0C"/>
    <w:rsid w:val="00F40C6B"/>
    <w:rsid w:val="00F415B4"/>
    <w:rsid w:val="00F415BC"/>
    <w:rsid w:val="00F424E6"/>
    <w:rsid w:val="00F42A32"/>
    <w:rsid w:val="00F44047"/>
    <w:rsid w:val="00F440F6"/>
    <w:rsid w:val="00F452CA"/>
    <w:rsid w:val="00F46145"/>
    <w:rsid w:val="00F461F2"/>
    <w:rsid w:val="00F46783"/>
    <w:rsid w:val="00F47198"/>
    <w:rsid w:val="00F4731D"/>
    <w:rsid w:val="00F4764E"/>
    <w:rsid w:val="00F50277"/>
    <w:rsid w:val="00F50D97"/>
    <w:rsid w:val="00F51472"/>
    <w:rsid w:val="00F51788"/>
    <w:rsid w:val="00F52C19"/>
    <w:rsid w:val="00F54084"/>
    <w:rsid w:val="00F540C7"/>
    <w:rsid w:val="00F55EF1"/>
    <w:rsid w:val="00F570DA"/>
    <w:rsid w:val="00F6030B"/>
    <w:rsid w:val="00F608F1"/>
    <w:rsid w:val="00F616DE"/>
    <w:rsid w:val="00F619CD"/>
    <w:rsid w:val="00F61AF8"/>
    <w:rsid w:val="00F61AFD"/>
    <w:rsid w:val="00F6275F"/>
    <w:rsid w:val="00F632C2"/>
    <w:rsid w:val="00F63385"/>
    <w:rsid w:val="00F63512"/>
    <w:rsid w:val="00F6404F"/>
    <w:rsid w:val="00F64406"/>
    <w:rsid w:val="00F6478A"/>
    <w:rsid w:val="00F64C0E"/>
    <w:rsid w:val="00F64C72"/>
    <w:rsid w:val="00F653AC"/>
    <w:rsid w:val="00F65407"/>
    <w:rsid w:val="00F65F37"/>
    <w:rsid w:val="00F66A4F"/>
    <w:rsid w:val="00F66A50"/>
    <w:rsid w:val="00F66E50"/>
    <w:rsid w:val="00F6735C"/>
    <w:rsid w:val="00F675DD"/>
    <w:rsid w:val="00F70A81"/>
    <w:rsid w:val="00F7164F"/>
    <w:rsid w:val="00F7185E"/>
    <w:rsid w:val="00F72896"/>
    <w:rsid w:val="00F72AB4"/>
    <w:rsid w:val="00F73BD4"/>
    <w:rsid w:val="00F73CBC"/>
    <w:rsid w:val="00F7402B"/>
    <w:rsid w:val="00F75541"/>
    <w:rsid w:val="00F75758"/>
    <w:rsid w:val="00F7698C"/>
    <w:rsid w:val="00F76FB2"/>
    <w:rsid w:val="00F7746F"/>
    <w:rsid w:val="00F80CE7"/>
    <w:rsid w:val="00F81464"/>
    <w:rsid w:val="00F8197C"/>
    <w:rsid w:val="00F81A11"/>
    <w:rsid w:val="00F81D52"/>
    <w:rsid w:val="00F82C7D"/>
    <w:rsid w:val="00F83F8D"/>
    <w:rsid w:val="00F8482F"/>
    <w:rsid w:val="00F84BE5"/>
    <w:rsid w:val="00F84DE6"/>
    <w:rsid w:val="00F85C64"/>
    <w:rsid w:val="00F8628F"/>
    <w:rsid w:val="00F86671"/>
    <w:rsid w:val="00F867F1"/>
    <w:rsid w:val="00F873AD"/>
    <w:rsid w:val="00F8780E"/>
    <w:rsid w:val="00F878DA"/>
    <w:rsid w:val="00F87A0E"/>
    <w:rsid w:val="00F90208"/>
    <w:rsid w:val="00F9093E"/>
    <w:rsid w:val="00F90E6E"/>
    <w:rsid w:val="00F911D3"/>
    <w:rsid w:val="00F91BA4"/>
    <w:rsid w:val="00F92117"/>
    <w:rsid w:val="00F921D2"/>
    <w:rsid w:val="00F930E4"/>
    <w:rsid w:val="00F93295"/>
    <w:rsid w:val="00F933A1"/>
    <w:rsid w:val="00F93689"/>
    <w:rsid w:val="00F9372A"/>
    <w:rsid w:val="00F93CBC"/>
    <w:rsid w:val="00F93CC6"/>
    <w:rsid w:val="00F93CEE"/>
    <w:rsid w:val="00F94162"/>
    <w:rsid w:val="00F949B9"/>
    <w:rsid w:val="00F951C6"/>
    <w:rsid w:val="00F95347"/>
    <w:rsid w:val="00F958B6"/>
    <w:rsid w:val="00F95D6C"/>
    <w:rsid w:val="00F96509"/>
    <w:rsid w:val="00F96ADE"/>
    <w:rsid w:val="00F96D56"/>
    <w:rsid w:val="00F96F2D"/>
    <w:rsid w:val="00F975F0"/>
    <w:rsid w:val="00F976FF"/>
    <w:rsid w:val="00F978FB"/>
    <w:rsid w:val="00F97DE6"/>
    <w:rsid w:val="00FA03C3"/>
    <w:rsid w:val="00FA03C4"/>
    <w:rsid w:val="00FA0F08"/>
    <w:rsid w:val="00FA3371"/>
    <w:rsid w:val="00FA33B2"/>
    <w:rsid w:val="00FA38C4"/>
    <w:rsid w:val="00FA4D9C"/>
    <w:rsid w:val="00FA512E"/>
    <w:rsid w:val="00FA5440"/>
    <w:rsid w:val="00FA5ABB"/>
    <w:rsid w:val="00FA5ADA"/>
    <w:rsid w:val="00FA5B8C"/>
    <w:rsid w:val="00FA6F8A"/>
    <w:rsid w:val="00FA75FE"/>
    <w:rsid w:val="00FA7FB2"/>
    <w:rsid w:val="00FA7FDC"/>
    <w:rsid w:val="00FB0342"/>
    <w:rsid w:val="00FB0F63"/>
    <w:rsid w:val="00FB204C"/>
    <w:rsid w:val="00FB244E"/>
    <w:rsid w:val="00FB3053"/>
    <w:rsid w:val="00FB3217"/>
    <w:rsid w:val="00FB3693"/>
    <w:rsid w:val="00FB3700"/>
    <w:rsid w:val="00FB3A03"/>
    <w:rsid w:val="00FB3A98"/>
    <w:rsid w:val="00FB41F6"/>
    <w:rsid w:val="00FB5086"/>
    <w:rsid w:val="00FB6C93"/>
    <w:rsid w:val="00FB6E51"/>
    <w:rsid w:val="00FB7E08"/>
    <w:rsid w:val="00FB7FC1"/>
    <w:rsid w:val="00FC01A1"/>
    <w:rsid w:val="00FC03E1"/>
    <w:rsid w:val="00FC076A"/>
    <w:rsid w:val="00FC0964"/>
    <w:rsid w:val="00FC0C34"/>
    <w:rsid w:val="00FC152A"/>
    <w:rsid w:val="00FC1BB6"/>
    <w:rsid w:val="00FC233F"/>
    <w:rsid w:val="00FC2E6D"/>
    <w:rsid w:val="00FC31FF"/>
    <w:rsid w:val="00FC3579"/>
    <w:rsid w:val="00FC36B8"/>
    <w:rsid w:val="00FC36F4"/>
    <w:rsid w:val="00FC3852"/>
    <w:rsid w:val="00FC4D72"/>
    <w:rsid w:val="00FC4E56"/>
    <w:rsid w:val="00FC58CB"/>
    <w:rsid w:val="00FC5E09"/>
    <w:rsid w:val="00FC5E5A"/>
    <w:rsid w:val="00FC5EFD"/>
    <w:rsid w:val="00FC619A"/>
    <w:rsid w:val="00FC62A0"/>
    <w:rsid w:val="00FC7208"/>
    <w:rsid w:val="00FC739C"/>
    <w:rsid w:val="00FD088C"/>
    <w:rsid w:val="00FD1142"/>
    <w:rsid w:val="00FD1AA6"/>
    <w:rsid w:val="00FD1B04"/>
    <w:rsid w:val="00FD2282"/>
    <w:rsid w:val="00FD24F2"/>
    <w:rsid w:val="00FD34CC"/>
    <w:rsid w:val="00FD4313"/>
    <w:rsid w:val="00FD44B9"/>
    <w:rsid w:val="00FD45C4"/>
    <w:rsid w:val="00FD48D7"/>
    <w:rsid w:val="00FD4C38"/>
    <w:rsid w:val="00FD4C61"/>
    <w:rsid w:val="00FD4D01"/>
    <w:rsid w:val="00FD4E60"/>
    <w:rsid w:val="00FD4F3B"/>
    <w:rsid w:val="00FD64D6"/>
    <w:rsid w:val="00FD6908"/>
    <w:rsid w:val="00FD6B0F"/>
    <w:rsid w:val="00FD7308"/>
    <w:rsid w:val="00FE0007"/>
    <w:rsid w:val="00FE16BB"/>
    <w:rsid w:val="00FE1FE9"/>
    <w:rsid w:val="00FE20DD"/>
    <w:rsid w:val="00FE26F0"/>
    <w:rsid w:val="00FE2EC2"/>
    <w:rsid w:val="00FE33E2"/>
    <w:rsid w:val="00FE374F"/>
    <w:rsid w:val="00FE3B07"/>
    <w:rsid w:val="00FE46FB"/>
    <w:rsid w:val="00FE5B72"/>
    <w:rsid w:val="00FE671F"/>
    <w:rsid w:val="00FE6AD8"/>
    <w:rsid w:val="00FE6C5B"/>
    <w:rsid w:val="00FE7096"/>
    <w:rsid w:val="00FE797E"/>
    <w:rsid w:val="00FF0890"/>
    <w:rsid w:val="00FF369F"/>
    <w:rsid w:val="00FF420A"/>
    <w:rsid w:val="00FF44A2"/>
    <w:rsid w:val="00FF456D"/>
    <w:rsid w:val="00FF4659"/>
    <w:rsid w:val="00FF5189"/>
    <w:rsid w:val="00FF55DC"/>
    <w:rsid w:val="00FF617B"/>
    <w:rsid w:val="00FF6222"/>
    <w:rsid w:val="00FF67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A24BD0"/>
  <w15:chartTrackingRefBased/>
  <w15:docId w15:val="{5B823AAC-2893-47AE-8605-2AFEDBB21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7FAD"/>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uiPriority w:val="9"/>
    <w:qFormat/>
    <w:rsid w:val="00910828"/>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54391D"/>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A7FAD"/>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BD232A"/>
    <w:rPr>
      <w:sz w:val="16"/>
      <w:szCs w:val="16"/>
    </w:rPr>
  </w:style>
  <w:style w:type="paragraph" w:styleId="CommentText">
    <w:name w:val="annotation text"/>
    <w:basedOn w:val="Normal"/>
    <w:link w:val="CommentTextChar1"/>
    <w:uiPriority w:val="99"/>
    <w:unhideWhenUsed/>
    <w:rsid w:val="00BD232A"/>
    <w:rPr>
      <w:sz w:val="20"/>
      <w:szCs w:val="20"/>
    </w:rPr>
  </w:style>
  <w:style w:type="character" w:customStyle="1" w:styleId="CommentTextChar1">
    <w:name w:val="Comment Text Char1"/>
    <w:basedOn w:val="DefaultParagraphFont"/>
    <w:link w:val="CommentText"/>
    <w:uiPriority w:val="99"/>
    <w:rsid w:val="00BD232A"/>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BD232A"/>
    <w:rPr>
      <w:b/>
      <w:bCs/>
    </w:rPr>
  </w:style>
  <w:style w:type="character" w:customStyle="1" w:styleId="CommentSubjectChar">
    <w:name w:val="Comment Subject Char"/>
    <w:basedOn w:val="CommentTextChar1"/>
    <w:link w:val="CommentSubject"/>
    <w:uiPriority w:val="99"/>
    <w:semiHidden/>
    <w:rsid w:val="00BD232A"/>
    <w:rPr>
      <w:rFonts w:ascii="Times New Roman" w:eastAsia="Times New Roman" w:hAnsi="Times New Roman" w:cs="Times New Roman"/>
      <w:b/>
      <w:bCs/>
      <w:sz w:val="20"/>
      <w:szCs w:val="20"/>
      <w:lang w:val="en-US"/>
    </w:rPr>
  </w:style>
  <w:style w:type="paragraph" w:styleId="BalloonText">
    <w:name w:val="Balloon Text"/>
    <w:basedOn w:val="Normal"/>
    <w:link w:val="BalloonTextChar1"/>
    <w:uiPriority w:val="99"/>
    <w:semiHidden/>
    <w:unhideWhenUsed/>
    <w:rsid w:val="00BD232A"/>
    <w:rPr>
      <w:rFonts w:ascii="Segoe UI" w:hAnsi="Segoe UI" w:cs="Segoe UI"/>
      <w:sz w:val="18"/>
      <w:szCs w:val="18"/>
    </w:rPr>
  </w:style>
  <w:style w:type="character" w:customStyle="1" w:styleId="BalloonTextChar1">
    <w:name w:val="Balloon Text Char1"/>
    <w:basedOn w:val="DefaultParagraphFont"/>
    <w:link w:val="BalloonText"/>
    <w:uiPriority w:val="99"/>
    <w:semiHidden/>
    <w:rsid w:val="00BD232A"/>
    <w:rPr>
      <w:rFonts w:ascii="Segoe UI" w:eastAsia="Times New Roman" w:hAnsi="Segoe UI" w:cs="Segoe UI"/>
      <w:sz w:val="18"/>
      <w:szCs w:val="18"/>
      <w:lang w:val="en-US"/>
    </w:rPr>
  </w:style>
  <w:style w:type="paragraph" w:styleId="FootnoteText">
    <w:name w:val="footnote text"/>
    <w:basedOn w:val="Normal"/>
    <w:link w:val="FootnoteTextChar"/>
    <w:uiPriority w:val="99"/>
    <w:semiHidden/>
    <w:unhideWhenUsed/>
    <w:rsid w:val="0066311D"/>
    <w:rPr>
      <w:sz w:val="20"/>
      <w:szCs w:val="20"/>
    </w:rPr>
  </w:style>
  <w:style w:type="character" w:customStyle="1" w:styleId="FootnoteTextChar">
    <w:name w:val="Footnote Text Char"/>
    <w:basedOn w:val="DefaultParagraphFont"/>
    <w:link w:val="FootnoteText"/>
    <w:uiPriority w:val="99"/>
    <w:semiHidden/>
    <w:rsid w:val="0066311D"/>
    <w:rPr>
      <w:rFonts w:ascii="Times New Roman" w:eastAsia="Times New Roman" w:hAnsi="Times New Roman" w:cs="Times New Roman"/>
      <w:sz w:val="20"/>
      <w:szCs w:val="20"/>
      <w:lang w:val="en-US"/>
    </w:rPr>
  </w:style>
  <w:style w:type="character" w:styleId="FootnoteReference">
    <w:name w:val="footnote reference"/>
    <w:basedOn w:val="DefaultParagraphFont"/>
    <w:uiPriority w:val="99"/>
    <w:semiHidden/>
    <w:unhideWhenUsed/>
    <w:rsid w:val="0066311D"/>
    <w:rPr>
      <w:vertAlign w:val="superscript"/>
    </w:rPr>
  </w:style>
  <w:style w:type="character" w:styleId="Hyperlink">
    <w:name w:val="Hyperlink"/>
    <w:basedOn w:val="DefaultParagraphFont"/>
    <w:uiPriority w:val="99"/>
    <w:unhideWhenUsed/>
    <w:rsid w:val="0001032E"/>
    <w:rPr>
      <w:color w:val="0000FF"/>
      <w:u w:val="single"/>
    </w:rPr>
  </w:style>
  <w:style w:type="character" w:customStyle="1" w:styleId="Heading1Char">
    <w:name w:val="Heading 1 Char"/>
    <w:basedOn w:val="DefaultParagraphFont"/>
    <w:link w:val="Heading1"/>
    <w:uiPriority w:val="9"/>
    <w:rsid w:val="00910828"/>
    <w:rPr>
      <w:rFonts w:asciiTheme="majorHAnsi" w:eastAsiaTheme="majorEastAsia" w:hAnsiTheme="majorHAnsi" w:cstheme="majorBidi"/>
      <w:color w:val="2F5496" w:themeColor="accent1" w:themeShade="BF"/>
      <w:sz w:val="32"/>
      <w:szCs w:val="32"/>
      <w:lang w:val="en-US"/>
    </w:rPr>
  </w:style>
  <w:style w:type="paragraph" w:styleId="Header">
    <w:name w:val="header"/>
    <w:basedOn w:val="Normal"/>
    <w:link w:val="HeaderChar"/>
    <w:unhideWhenUsed/>
    <w:rsid w:val="003335BC"/>
    <w:pPr>
      <w:tabs>
        <w:tab w:val="center" w:pos="4680"/>
        <w:tab w:val="right" w:pos="9360"/>
      </w:tabs>
    </w:pPr>
  </w:style>
  <w:style w:type="character" w:customStyle="1" w:styleId="HeaderChar">
    <w:name w:val="Header Char"/>
    <w:basedOn w:val="DefaultParagraphFont"/>
    <w:link w:val="Header"/>
    <w:rsid w:val="003335BC"/>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3335BC"/>
    <w:pPr>
      <w:tabs>
        <w:tab w:val="center" w:pos="4680"/>
        <w:tab w:val="right" w:pos="9360"/>
      </w:tabs>
    </w:pPr>
  </w:style>
  <w:style w:type="character" w:customStyle="1" w:styleId="FooterChar">
    <w:name w:val="Footer Char"/>
    <w:basedOn w:val="DefaultParagraphFont"/>
    <w:link w:val="Footer"/>
    <w:uiPriority w:val="99"/>
    <w:rsid w:val="003335BC"/>
    <w:rPr>
      <w:rFonts w:ascii="Times New Roman" w:eastAsia="Times New Roman" w:hAnsi="Times New Roman" w:cs="Times New Roman"/>
      <w:sz w:val="24"/>
      <w:szCs w:val="24"/>
      <w:lang w:val="en-US"/>
    </w:rPr>
  </w:style>
  <w:style w:type="paragraph" w:styleId="Bibliography">
    <w:name w:val="Bibliography"/>
    <w:basedOn w:val="Normal"/>
    <w:next w:val="Normal"/>
    <w:uiPriority w:val="37"/>
    <w:unhideWhenUsed/>
    <w:rsid w:val="0054391D"/>
    <w:pPr>
      <w:tabs>
        <w:tab w:val="left" w:pos="384"/>
      </w:tabs>
      <w:spacing w:after="240"/>
      <w:ind w:left="384" w:hanging="384"/>
    </w:pPr>
  </w:style>
  <w:style w:type="character" w:customStyle="1" w:styleId="Heading2Char">
    <w:name w:val="Heading 2 Char"/>
    <w:basedOn w:val="DefaultParagraphFont"/>
    <w:link w:val="Heading2"/>
    <w:uiPriority w:val="9"/>
    <w:rsid w:val="0054391D"/>
    <w:rPr>
      <w:rFonts w:asciiTheme="majorHAnsi" w:eastAsiaTheme="majorEastAsia" w:hAnsiTheme="majorHAnsi" w:cstheme="majorBidi"/>
      <w:color w:val="2F5496" w:themeColor="accent1" w:themeShade="BF"/>
      <w:sz w:val="26"/>
      <w:szCs w:val="26"/>
      <w:lang w:val="en-US"/>
    </w:rPr>
  </w:style>
  <w:style w:type="paragraph" w:styleId="ListParagraph">
    <w:name w:val="List Paragraph"/>
    <w:basedOn w:val="Normal"/>
    <w:link w:val="ListParagraphChar"/>
    <w:uiPriority w:val="34"/>
    <w:qFormat/>
    <w:rsid w:val="005C6A95"/>
    <w:pPr>
      <w:ind w:left="720"/>
      <w:contextualSpacing/>
    </w:pPr>
  </w:style>
  <w:style w:type="character" w:customStyle="1" w:styleId="NichtaufgelsteErwhnung1">
    <w:name w:val="Nicht aufgelöste Erwähnung1"/>
    <w:basedOn w:val="DefaultParagraphFont"/>
    <w:uiPriority w:val="99"/>
    <w:semiHidden/>
    <w:unhideWhenUsed/>
    <w:rsid w:val="009F27D0"/>
    <w:rPr>
      <w:color w:val="605E5C"/>
      <w:shd w:val="clear" w:color="auto" w:fill="E1DFDD"/>
    </w:rPr>
  </w:style>
  <w:style w:type="paragraph" w:styleId="NormalWeb">
    <w:name w:val="Normal (Web)"/>
    <w:basedOn w:val="Normal"/>
    <w:uiPriority w:val="99"/>
    <w:unhideWhenUsed/>
    <w:rsid w:val="00A36D74"/>
    <w:pPr>
      <w:spacing w:before="100" w:beforeAutospacing="1" w:after="100" w:afterAutospacing="1"/>
    </w:pPr>
    <w:rPr>
      <w:lang w:val="en-GB" w:eastAsia="en-GB"/>
    </w:rPr>
  </w:style>
  <w:style w:type="character" w:styleId="EndnoteReference">
    <w:name w:val="endnote reference"/>
    <w:basedOn w:val="DefaultParagraphFont"/>
    <w:uiPriority w:val="99"/>
    <w:semiHidden/>
    <w:unhideWhenUsed/>
    <w:rsid w:val="002B5216"/>
    <w:rPr>
      <w:vertAlign w:val="superscript"/>
    </w:rPr>
  </w:style>
  <w:style w:type="character" w:styleId="FollowedHyperlink">
    <w:name w:val="FollowedHyperlink"/>
    <w:basedOn w:val="DefaultParagraphFont"/>
    <w:uiPriority w:val="99"/>
    <w:semiHidden/>
    <w:unhideWhenUsed/>
    <w:rsid w:val="00DF2588"/>
    <w:rPr>
      <w:color w:val="954F72" w:themeColor="followedHyperlink"/>
      <w:u w:val="single"/>
    </w:rPr>
  </w:style>
  <w:style w:type="paragraph" w:customStyle="1" w:styleId="TableContents">
    <w:name w:val="Table Contents"/>
    <w:basedOn w:val="Normal"/>
    <w:rsid w:val="009D3A56"/>
    <w:pPr>
      <w:widowControl w:val="0"/>
      <w:suppressLineNumbers/>
      <w:suppressAutoHyphens/>
      <w:autoSpaceDN w:val="0"/>
      <w:textAlignment w:val="baseline"/>
    </w:pPr>
    <w:rPr>
      <w:rFonts w:eastAsia="SimSun" w:cs="Lucida Sans"/>
      <w:kern w:val="3"/>
      <w:lang w:val="en-GB" w:eastAsia="zh-CN" w:bidi="hi-IN"/>
    </w:rPr>
  </w:style>
  <w:style w:type="paragraph" w:customStyle="1" w:styleId="Heading11">
    <w:name w:val="Heading 11"/>
    <w:basedOn w:val="Normal"/>
    <w:next w:val="Normal"/>
    <w:uiPriority w:val="9"/>
    <w:qFormat/>
    <w:rsid w:val="007959CE"/>
    <w:pPr>
      <w:keepNext/>
      <w:keepLines/>
      <w:spacing w:before="480"/>
      <w:outlineLvl w:val="0"/>
    </w:pPr>
    <w:rPr>
      <w:rFonts w:ascii="Calibri" w:eastAsia="MS Gothic" w:hAnsi="Calibri"/>
      <w:b/>
      <w:bCs/>
      <w:color w:val="345A8A"/>
      <w:sz w:val="32"/>
      <w:szCs w:val="32"/>
    </w:rPr>
  </w:style>
  <w:style w:type="numbering" w:customStyle="1" w:styleId="NoList1">
    <w:name w:val="No List1"/>
    <w:next w:val="NoList"/>
    <w:uiPriority w:val="99"/>
    <w:semiHidden/>
    <w:unhideWhenUsed/>
    <w:rsid w:val="007959CE"/>
  </w:style>
  <w:style w:type="table" w:customStyle="1" w:styleId="TableGrid1">
    <w:name w:val="Table Grid1"/>
    <w:basedOn w:val="TableNormal"/>
    <w:next w:val="TableGrid"/>
    <w:uiPriority w:val="59"/>
    <w:rsid w:val="007959CE"/>
    <w:pPr>
      <w:spacing w:after="0" w:line="240" w:lineRule="auto"/>
    </w:pPr>
    <w:rPr>
      <w:rFonts w:eastAsia="MS Mincho"/>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7959CE"/>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7959CE"/>
    <w:pPr>
      <w:spacing w:after="200" w:line="276" w:lineRule="auto"/>
      <w:ind w:left="720"/>
      <w:contextualSpacing/>
    </w:pPr>
    <w:rPr>
      <w:rFonts w:eastAsia="Calibri"/>
      <w:sz w:val="22"/>
      <w:szCs w:val="22"/>
    </w:rPr>
  </w:style>
  <w:style w:type="paragraph" w:customStyle="1" w:styleId="NoSpacing1">
    <w:name w:val="No Spacing1"/>
    <w:next w:val="NoSpacing"/>
    <w:qFormat/>
    <w:rsid w:val="007959CE"/>
    <w:pPr>
      <w:spacing w:after="0" w:line="240" w:lineRule="auto"/>
    </w:pPr>
    <w:rPr>
      <w:rFonts w:eastAsia="Calibri"/>
      <w:lang w:val="en-US"/>
    </w:rPr>
  </w:style>
  <w:style w:type="table" w:customStyle="1" w:styleId="TableGrid3">
    <w:name w:val="Table Grid3"/>
    <w:basedOn w:val="TableNormal"/>
    <w:next w:val="TableGrid"/>
    <w:uiPriority w:val="59"/>
    <w:rsid w:val="007959CE"/>
    <w:pPr>
      <w:spacing w:after="0" w:line="240" w:lineRule="auto"/>
    </w:pPr>
    <w:rPr>
      <w:rFonts w:eastAsia="Calibr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lloonText1">
    <w:name w:val="Balloon Text1"/>
    <w:basedOn w:val="Normal"/>
    <w:next w:val="BalloonText"/>
    <w:link w:val="BalloonTextChar"/>
    <w:uiPriority w:val="99"/>
    <w:semiHidden/>
    <w:unhideWhenUsed/>
    <w:rsid w:val="007959CE"/>
    <w:rPr>
      <w:rFonts w:ascii="Lucida Grande" w:eastAsiaTheme="minorHAnsi" w:hAnsi="Lucida Grande" w:cs="Lucida Grande"/>
      <w:sz w:val="18"/>
      <w:szCs w:val="18"/>
    </w:rPr>
  </w:style>
  <w:style w:type="character" w:customStyle="1" w:styleId="BalloonTextChar">
    <w:name w:val="Balloon Text Char"/>
    <w:basedOn w:val="DefaultParagraphFont"/>
    <w:link w:val="BalloonText1"/>
    <w:uiPriority w:val="99"/>
    <w:semiHidden/>
    <w:rsid w:val="007959CE"/>
    <w:rPr>
      <w:rFonts w:ascii="Lucida Grande" w:hAnsi="Lucida Grande" w:cs="Lucida Grande"/>
      <w:sz w:val="18"/>
      <w:szCs w:val="18"/>
      <w:lang w:val="en-US"/>
    </w:rPr>
  </w:style>
  <w:style w:type="paragraph" w:customStyle="1" w:styleId="ListParagraph1">
    <w:name w:val="List Paragraph1"/>
    <w:basedOn w:val="Normal"/>
    <w:next w:val="ListParagraph"/>
    <w:uiPriority w:val="34"/>
    <w:qFormat/>
    <w:rsid w:val="007959CE"/>
    <w:pPr>
      <w:ind w:left="720"/>
      <w:contextualSpacing/>
    </w:pPr>
    <w:rPr>
      <w:rFonts w:asciiTheme="minorHAnsi" w:eastAsia="MS Mincho" w:hAnsiTheme="minorHAnsi" w:cstheme="minorBidi"/>
    </w:rPr>
  </w:style>
  <w:style w:type="paragraph" w:customStyle="1" w:styleId="CommentText1">
    <w:name w:val="Comment Text1"/>
    <w:basedOn w:val="Normal"/>
    <w:next w:val="CommentText"/>
    <w:link w:val="CommentTextChar"/>
    <w:uiPriority w:val="99"/>
    <w:unhideWhenUsed/>
    <w:rsid w:val="007959CE"/>
    <w:rPr>
      <w:rFonts w:asciiTheme="minorHAnsi" w:eastAsiaTheme="minorHAnsi" w:hAnsiTheme="minorHAnsi" w:cstheme="minorBidi"/>
      <w:sz w:val="22"/>
      <w:szCs w:val="22"/>
    </w:rPr>
  </w:style>
  <w:style w:type="character" w:customStyle="1" w:styleId="CommentTextChar">
    <w:name w:val="Comment Text Char"/>
    <w:basedOn w:val="DefaultParagraphFont"/>
    <w:link w:val="CommentText1"/>
    <w:uiPriority w:val="99"/>
    <w:rsid w:val="007959CE"/>
    <w:rPr>
      <w:lang w:val="en-US"/>
    </w:rPr>
  </w:style>
  <w:style w:type="table" w:customStyle="1" w:styleId="TableGrid4">
    <w:name w:val="Table Grid4"/>
    <w:basedOn w:val="TableNormal"/>
    <w:next w:val="TableGrid"/>
    <w:uiPriority w:val="59"/>
    <w:rsid w:val="007959CE"/>
    <w:pPr>
      <w:spacing w:after="0" w:line="240" w:lineRule="auto"/>
    </w:pPr>
    <w:rPr>
      <w:rFonts w:eastAsia="MS Mincho"/>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mmentSubject1">
    <w:name w:val="Comment Subject1"/>
    <w:basedOn w:val="CommentText"/>
    <w:next w:val="CommentText"/>
    <w:uiPriority w:val="99"/>
    <w:semiHidden/>
    <w:unhideWhenUsed/>
    <w:rsid w:val="007959CE"/>
    <w:rPr>
      <w:rFonts w:asciiTheme="minorHAnsi" w:eastAsia="MS Mincho" w:hAnsiTheme="minorHAnsi" w:cstheme="minorBidi"/>
      <w:b/>
      <w:bCs/>
    </w:rPr>
  </w:style>
  <w:style w:type="table" w:customStyle="1" w:styleId="TableGrid5">
    <w:name w:val="Table Grid5"/>
    <w:basedOn w:val="TableNormal"/>
    <w:next w:val="TableGrid"/>
    <w:uiPriority w:val="59"/>
    <w:rsid w:val="007959CE"/>
    <w:pPr>
      <w:spacing w:after="0" w:line="240" w:lineRule="auto"/>
    </w:pPr>
    <w:rPr>
      <w:rFonts w:eastAsia="MS Mincho"/>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vision1">
    <w:name w:val="Revision1"/>
    <w:next w:val="Revision"/>
    <w:hidden/>
    <w:uiPriority w:val="99"/>
    <w:semiHidden/>
    <w:rsid w:val="007959CE"/>
    <w:pPr>
      <w:spacing w:after="0" w:line="240" w:lineRule="auto"/>
    </w:pPr>
    <w:rPr>
      <w:rFonts w:eastAsia="MS Mincho"/>
      <w:sz w:val="24"/>
      <w:szCs w:val="24"/>
      <w:lang w:val="en-US"/>
    </w:rPr>
  </w:style>
  <w:style w:type="numbering" w:customStyle="1" w:styleId="List8">
    <w:name w:val="List 8"/>
    <w:rsid w:val="007959CE"/>
  </w:style>
  <w:style w:type="paragraph" w:styleId="BodyTextIndent2">
    <w:name w:val="Body Text Indent 2"/>
    <w:basedOn w:val="Normal"/>
    <w:link w:val="BodyTextIndent2Char"/>
    <w:semiHidden/>
    <w:rsid w:val="007959CE"/>
    <w:pPr>
      <w:spacing w:before="120" w:after="120"/>
      <w:ind w:left="540" w:hanging="540"/>
    </w:pPr>
    <w:rPr>
      <w:rFonts w:ascii="Arial" w:hAnsi="Arial" w:cs="Arial"/>
      <w:bCs/>
      <w:noProof/>
      <w:kern w:val="32"/>
      <w:szCs w:val="32"/>
    </w:rPr>
  </w:style>
  <w:style w:type="character" w:customStyle="1" w:styleId="BodyTextIndent2Char">
    <w:name w:val="Body Text Indent 2 Char"/>
    <w:basedOn w:val="DefaultParagraphFont"/>
    <w:link w:val="BodyTextIndent2"/>
    <w:semiHidden/>
    <w:rsid w:val="007959CE"/>
    <w:rPr>
      <w:rFonts w:ascii="Arial" w:eastAsia="Times New Roman" w:hAnsi="Arial" w:cs="Arial"/>
      <w:bCs/>
      <w:noProof/>
      <w:kern w:val="32"/>
      <w:sz w:val="24"/>
      <w:szCs w:val="32"/>
      <w:lang w:val="en-US"/>
    </w:rPr>
  </w:style>
  <w:style w:type="character" w:styleId="PageNumber">
    <w:name w:val="page number"/>
    <w:basedOn w:val="DefaultParagraphFont"/>
    <w:uiPriority w:val="99"/>
    <w:semiHidden/>
    <w:unhideWhenUsed/>
    <w:rsid w:val="007959CE"/>
  </w:style>
  <w:style w:type="table" w:customStyle="1" w:styleId="TableGrid6">
    <w:name w:val="Table Grid6"/>
    <w:basedOn w:val="TableNormal"/>
    <w:next w:val="TableGrid"/>
    <w:uiPriority w:val="59"/>
    <w:rsid w:val="007959CE"/>
    <w:pPr>
      <w:spacing w:after="0" w:line="240" w:lineRule="auto"/>
    </w:pPr>
    <w:rPr>
      <w:rFonts w:eastAsia="MS Mincho"/>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7959CE"/>
    <w:pPr>
      <w:spacing w:after="0" w:line="240" w:lineRule="auto"/>
    </w:pPr>
    <w:rPr>
      <w:rFonts w:eastAsia="MS Mincho"/>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7959CE"/>
  </w:style>
  <w:style w:type="table" w:customStyle="1" w:styleId="TableGrid8">
    <w:name w:val="Table Grid8"/>
    <w:basedOn w:val="TableNormal"/>
    <w:next w:val="TableGrid"/>
    <w:uiPriority w:val="59"/>
    <w:rsid w:val="007959CE"/>
    <w:pPr>
      <w:spacing w:after="0" w:line="240" w:lineRule="auto"/>
    </w:pPr>
    <w:rPr>
      <w:rFonts w:ascii="Cambria" w:eastAsia="MS Mincho" w:hAnsi="Cambria"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Web1">
    <w:name w:val="Normal (Web)1"/>
    <w:basedOn w:val="Normal"/>
    <w:next w:val="NormalWeb"/>
    <w:uiPriority w:val="99"/>
    <w:unhideWhenUsed/>
    <w:rsid w:val="007959CE"/>
    <w:pPr>
      <w:spacing w:before="100" w:beforeAutospacing="1" w:after="100" w:afterAutospacing="1"/>
    </w:pPr>
    <w:rPr>
      <w:rFonts w:ascii="Times" w:eastAsia="MS Mincho" w:hAnsi="Times"/>
      <w:sz w:val="20"/>
      <w:szCs w:val="20"/>
    </w:rPr>
  </w:style>
  <w:style w:type="table" w:customStyle="1" w:styleId="TableGrid11">
    <w:name w:val="Table Grid11"/>
    <w:basedOn w:val="TableNormal"/>
    <w:next w:val="TableGrid"/>
    <w:uiPriority w:val="59"/>
    <w:rsid w:val="007959CE"/>
    <w:pPr>
      <w:spacing w:after="0" w:line="240" w:lineRule="auto"/>
    </w:pPr>
    <w:rPr>
      <w:rFonts w:eastAsia="MS Mincho"/>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7959CE"/>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7959CE"/>
    <w:pPr>
      <w:spacing w:after="0" w:line="240" w:lineRule="auto"/>
    </w:pPr>
    <w:rPr>
      <w:rFonts w:eastAsia="Calibr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7959CE"/>
    <w:pPr>
      <w:spacing w:after="0" w:line="240" w:lineRule="auto"/>
    </w:pPr>
    <w:rPr>
      <w:rFonts w:eastAsia="MS Mincho"/>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7959CE"/>
    <w:pPr>
      <w:spacing w:after="0" w:line="240" w:lineRule="auto"/>
    </w:pPr>
    <w:rPr>
      <w:rFonts w:eastAsia="MS Mincho"/>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81">
    <w:name w:val="List 81"/>
    <w:rsid w:val="007959CE"/>
  </w:style>
  <w:style w:type="table" w:customStyle="1" w:styleId="TableGrid61">
    <w:name w:val="Table Grid61"/>
    <w:basedOn w:val="TableNormal"/>
    <w:next w:val="TableGrid"/>
    <w:uiPriority w:val="59"/>
    <w:rsid w:val="007959CE"/>
    <w:pPr>
      <w:spacing w:after="0" w:line="240" w:lineRule="auto"/>
    </w:pPr>
    <w:rPr>
      <w:rFonts w:eastAsia="MS Mincho"/>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1">
    <w:name w:val="Table Grid71"/>
    <w:basedOn w:val="TableNormal"/>
    <w:next w:val="TableGrid"/>
    <w:uiPriority w:val="59"/>
    <w:rsid w:val="007959CE"/>
    <w:pPr>
      <w:spacing w:after="0" w:line="240" w:lineRule="auto"/>
    </w:pPr>
    <w:rPr>
      <w:rFonts w:eastAsia="MS Mincho"/>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1">
    <w:name w:val="Table Grid81"/>
    <w:basedOn w:val="TableNormal"/>
    <w:next w:val="TableGrid"/>
    <w:uiPriority w:val="59"/>
    <w:rsid w:val="007959CE"/>
    <w:pPr>
      <w:spacing w:after="0" w:line="240" w:lineRule="auto"/>
    </w:pPr>
    <w:rPr>
      <w:rFonts w:eastAsia="MS Mincho"/>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1">
    <w:name w:val="Heading 1 Char1"/>
    <w:basedOn w:val="DefaultParagraphFont"/>
    <w:uiPriority w:val="9"/>
    <w:rsid w:val="007959CE"/>
    <w:rPr>
      <w:rFonts w:asciiTheme="majorHAnsi" w:eastAsiaTheme="majorEastAsia" w:hAnsiTheme="majorHAnsi" w:cstheme="majorBidi"/>
      <w:b/>
      <w:bCs/>
      <w:color w:val="2F5496" w:themeColor="accent1" w:themeShade="BF"/>
      <w:sz w:val="28"/>
      <w:szCs w:val="28"/>
    </w:rPr>
  </w:style>
  <w:style w:type="paragraph" w:styleId="NoSpacing">
    <w:name w:val="No Spacing"/>
    <w:uiPriority w:val="1"/>
    <w:qFormat/>
    <w:rsid w:val="007959CE"/>
    <w:pPr>
      <w:spacing w:after="0" w:line="240" w:lineRule="auto"/>
    </w:pPr>
    <w:rPr>
      <w:lang w:val="en-US"/>
    </w:rPr>
  </w:style>
  <w:style w:type="character" w:customStyle="1" w:styleId="KommentarthemaZchn1">
    <w:name w:val="Kommentarthema Zchn1"/>
    <w:basedOn w:val="CommentTextChar1"/>
    <w:uiPriority w:val="99"/>
    <w:semiHidden/>
    <w:rsid w:val="007959CE"/>
    <w:rPr>
      <w:rFonts w:ascii="Times New Roman" w:eastAsia="Times New Roman" w:hAnsi="Times New Roman" w:cs="Times New Roman"/>
      <w:b/>
      <w:bCs/>
      <w:sz w:val="20"/>
      <w:szCs w:val="20"/>
      <w:lang w:val="en-US"/>
    </w:rPr>
  </w:style>
  <w:style w:type="character" w:customStyle="1" w:styleId="CommentSubjectChar1">
    <w:name w:val="Comment Subject Char1"/>
    <w:basedOn w:val="CommentTextChar1"/>
    <w:uiPriority w:val="99"/>
    <w:semiHidden/>
    <w:rsid w:val="007959CE"/>
    <w:rPr>
      <w:rFonts w:ascii="Times New Roman" w:eastAsia="Times New Roman" w:hAnsi="Times New Roman" w:cs="Times New Roman"/>
      <w:b/>
      <w:bCs/>
      <w:sz w:val="20"/>
      <w:szCs w:val="20"/>
      <w:lang w:val="en-US"/>
    </w:rPr>
  </w:style>
  <w:style w:type="paragraph" w:styleId="Revision">
    <w:name w:val="Revision"/>
    <w:hidden/>
    <w:uiPriority w:val="99"/>
    <w:semiHidden/>
    <w:rsid w:val="007959CE"/>
    <w:pPr>
      <w:spacing w:after="0" w:line="240" w:lineRule="auto"/>
    </w:pPr>
    <w:rPr>
      <w:lang w:val="en-US"/>
    </w:rPr>
  </w:style>
  <w:style w:type="character" w:customStyle="1" w:styleId="ListParagraphChar">
    <w:name w:val="List Paragraph Char"/>
    <w:basedOn w:val="DefaultParagraphFont"/>
    <w:link w:val="ListParagraph"/>
    <w:uiPriority w:val="34"/>
    <w:rsid w:val="002B52F9"/>
    <w:rPr>
      <w:rFonts w:ascii="Times New Roman" w:eastAsia="Times New Roman" w:hAnsi="Times New Roman" w:cs="Times New Roman"/>
      <w:sz w:val="24"/>
      <w:szCs w:val="24"/>
      <w:lang w:val="en-US"/>
    </w:rPr>
  </w:style>
  <w:style w:type="character" w:customStyle="1" w:styleId="apple-converted-space">
    <w:name w:val="apple-converted-space"/>
    <w:basedOn w:val="DefaultParagraphFont"/>
    <w:rsid w:val="00DA237B"/>
  </w:style>
  <w:style w:type="character" w:customStyle="1" w:styleId="UnresolvedMention1">
    <w:name w:val="Unresolved Mention1"/>
    <w:basedOn w:val="DefaultParagraphFont"/>
    <w:uiPriority w:val="99"/>
    <w:rsid w:val="00A65CE9"/>
    <w:rPr>
      <w:color w:val="605E5C"/>
      <w:shd w:val="clear" w:color="auto" w:fill="E1DFDD"/>
    </w:rPr>
  </w:style>
  <w:style w:type="character" w:styleId="LineNumber">
    <w:name w:val="line number"/>
    <w:basedOn w:val="DefaultParagraphFont"/>
    <w:uiPriority w:val="99"/>
    <w:semiHidden/>
    <w:unhideWhenUsed/>
    <w:rsid w:val="00FD7308"/>
  </w:style>
  <w:style w:type="character" w:styleId="UnresolvedMention">
    <w:name w:val="Unresolved Mention"/>
    <w:basedOn w:val="DefaultParagraphFont"/>
    <w:uiPriority w:val="99"/>
    <w:semiHidden/>
    <w:unhideWhenUsed/>
    <w:rsid w:val="00AF53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9438352">
      <w:bodyDiv w:val="1"/>
      <w:marLeft w:val="0"/>
      <w:marRight w:val="0"/>
      <w:marTop w:val="0"/>
      <w:marBottom w:val="0"/>
      <w:divBdr>
        <w:top w:val="none" w:sz="0" w:space="0" w:color="auto"/>
        <w:left w:val="none" w:sz="0" w:space="0" w:color="auto"/>
        <w:bottom w:val="none" w:sz="0" w:space="0" w:color="auto"/>
        <w:right w:val="none" w:sz="0" w:space="0" w:color="auto"/>
      </w:divBdr>
    </w:div>
    <w:div w:id="272517595">
      <w:bodyDiv w:val="1"/>
      <w:marLeft w:val="0"/>
      <w:marRight w:val="0"/>
      <w:marTop w:val="0"/>
      <w:marBottom w:val="0"/>
      <w:divBdr>
        <w:top w:val="none" w:sz="0" w:space="0" w:color="auto"/>
        <w:left w:val="none" w:sz="0" w:space="0" w:color="auto"/>
        <w:bottom w:val="none" w:sz="0" w:space="0" w:color="auto"/>
        <w:right w:val="none" w:sz="0" w:space="0" w:color="auto"/>
      </w:divBdr>
    </w:div>
    <w:div w:id="374737909">
      <w:bodyDiv w:val="1"/>
      <w:marLeft w:val="0"/>
      <w:marRight w:val="0"/>
      <w:marTop w:val="0"/>
      <w:marBottom w:val="0"/>
      <w:divBdr>
        <w:top w:val="none" w:sz="0" w:space="0" w:color="auto"/>
        <w:left w:val="none" w:sz="0" w:space="0" w:color="auto"/>
        <w:bottom w:val="none" w:sz="0" w:space="0" w:color="auto"/>
        <w:right w:val="none" w:sz="0" w:space="0" w:color="auto"/>
      </w:divBdr>
    </w:div>
    <w:div w:id="437484070">
      <w:bodyDiv w:val="1"/>
      <w:marLeft w:val="0"/>
      <w:marRight w:val="0"/>
      <w:marTop w:val="0"/>
      <w:marBottom w:val="0"/>
      <w:divBdr>
        <w:top w:val="none" w:sz="0" w:space="0" w:color="auto"/>
        <w:left w:val="none" w:sz="0" w:space="0" w:color="auto"/>
        <w:bottom w:val="none" w:sz="0" w:space="0" w:color="auto"/>
        <w:right w:val="none" w:sz="0" w:space="0" w:color="auto"/>
      </w:divBdr>
    </w:div>
    <w:div w:id="442263571">
      <w:bodyDiv w:val="1"/>
      <w:marLeft w:val="0"/>
      <w:marRight w:val="0"/>
      <w:marTop w:val="0"/>
      <w:marBottom w:val="0"/>
      <w:divBdr>
        <w:top w:val="none" w:sz="0" w:space="0" w:color="auto"/>
        <w:left w:val="none" w:sz="0" w:space="0" w:color="auto"/>
        <w:bottom w:val="none" w:sz="0" w:space="0" w:color="auto"/>
        <w:right w:val="none" w:sz="0" w:space="0" w:color="auto"/>
      </w:divBdr>
    </w:div>
    <w:div w:id="467433833">
      <w:bodyDiv w:val="1"/>
      <w:marLeft w:val="0"/>
      <w:marRight w:val="0"/>
      <w:marTop w:val="0"/>
      <w:marBottom w:val="0"/>
      <w:divBdr>
        <w:top w:val="none" w:sz="0" w:space="0" w:color="auto"/>
        <w:left w:val="none" w:sz="0" w:space="0" w:color="auto"/>
        <w:bottom w:val="none" w:sz="0" w:space="0" w:color="auto"/>
        <w:right w:val="none" w:sz="0" w:space="0" w:color="auto"/>
      </w:divBdr>
    </w:div>
    <w:div w:id="505361614">
      <w:bodyDiv w:val="1"/>
      <w:marLeft w:val="0"/>
      <w:marRight w:val="0"/>
      <w:marTop w:val="0"/>
      <w:marBottom w:val="0"/>
      <w:divBdr>
        <w:top w:val="none" w:sz="0" w:space="0" w:color="auto"/>
        <w:left w:val="none" w:sz="0" w:space="0" w:color="auto"/>
        <w:bottom w:val="none" w:sz="0" w:space="0" w:color="auto"/>
        <w:right w:val="none" w:sz="0" w:space="0" w:color="auto"/>
      </w:divBdr>
    </w:div>
    <w:div w:id="535312123">
      <w:bodyDiv w:val="1"/>
      <w:marLeft w:val="0"/>
      <w:marRight w:val="0"/>
      <w:marTop w:val="0"/>
      <w:marBottom w:val="0"/>
      <w:divBdr>
        <w:top w:val="none" w:sz="0" w:space="0" w:color="auto"/>
        <w:left w:val="none" w:sz="0" w:space="0" w:color="auto"/>
        <w:bottom w:val="none" w:sz="0" w:space="0" w:color="auto"/>
        <w:right w:val="none" w:sz="0" w:space="0" w:color="auto"/>
      </w:divBdr>
    </w:div>
    <w:div w:id="568925241">
      <w:bodyDiv w:val="1"/>
      <w:marLeft w:val="0"/>
      <w:marRight w:val="0"/>
      <w:marTop w:val="0"/>
      <w:marBottom w:val="0"/>
      <w:divBdr>
        <w:top w:val="none" w:sz="0" w:space="0" w:color="auto"/>
        <w:left w:val="none" w:sz="0" w:space="0" w:color="auto"/>
        <w:bottom w:val="none" w:sz="0" w:space="0" w:color="auto"/>
        <w:right w:val="none" w:sz="0" w:space="0" w:color="auto"/>
      </w:divBdr>
    </w:div>
    <w:div w:id="597638989">
      <w:bodyDiv w:val="1"/>
      <w:marLeft w:val="0"/>
      <w:marRight w:val="0"/>
      <w:marTop w:val="0"/>
      <w:marBottom w:val="0"/>
      <w:divBdr>
        <w:top w:val="none" w:sz="0" w:space="0" w:color="auto"/>
        <w:left w:val="none" w:sz="0" w:space="0" w:color="auto"/>
        <w:bottom w:val="none" w:sz="0" w:space="0" w:color="auto"/>
        <w:right w:val="none" w:sz="0" w:space="0" w:color="auto"/>
      </w:divBdr>
    </w:div>
    <w:div w:id="619411662">
      <w:bodyDiv w:val="1"/>
      <w:marLeft w:val="0"/>
      <w:marRight w:val="0"/>
      <w:marTop w:val="0"/>
      <w:marBottom w:val="0"/>
      <w:divBdr>
        <w:top w:val="none" w:sz="0" w:space="0" w:color="auto"/>
        <w:left w:val="none" w:sz="0" w:space="0" w:color="auto"/>
        <w:bottom w:val="none" w:sz="0" w:space="0" w:color="auto"/>
        <w:right w:val="none" w:sz="0" w:space="0" w:color="auto"/>
      </w:divBdr>
    </w:div>
    <w:div w:id="802236125">
      <w:bodyDiv w:val="1"/>
      <w:marLeft w:val="0"/>
      <w:marRight w:val="0"/>
      <w:marTop w:val="0"/>
      <w:marBottom w:val="0"/>
      <w:divBdr>
        <w:top w:val="none" w:sz="0" w:space="0" w:color="auto"/>
        <w:left w:val="none" w:sz="0" w:space="0" w:color="auto"/>
        <w:bottom w:val="none" w:sz="0" w:space="0" w:color="auto"/>
        <w:right w:val="none" w:sz="0" w:space="0" w:color="auto"/>
      </w:divBdr>
    </w:div>
    <w:div w:id="1125464115">
      <w:bodyDiv w:val="1"/>
      <w:marLeft w:val="0"/>
      <w:marRight w:val="0"/>
      <w:marTop w:val="0"/>
      <w:marBottom w:val="0"/>
      <w:divBdr>
        <w:top w:val="none" w:sz="0" w:space="0" w:color="auto"/>
        <w:left w:val="none" w:sz="0" w:space="0" w:color="auto"/>
        <w:bottom w:val="none" w:sz="0" w:space="0" w:color="auto"/>
        <w:right w:val="none" w:sz="0" w:space="0" w:color="auto"/>
      </w:divBdr>
    </w:div>
    <w:div w:id="1172720670">
      <w:bodyDiv w:val="1"/>
      <w:marLeft w:val="0"/>
      <w:marRight w:val="0"/>
      <w:marTop w:val="0"/>
      <w:marBottom w:val="0"/>
      <w:divBdr>
        <w:top w:val="none" w:sz="0" w:space="0" w:color="auto"/>
        <w:left w:val="none" w:sz="0" w:space="0" w:color="auto"/>
        <w:bottom w:val="none" w:sz="0" w:space="0" w:color="auto"/>
        <w:right w:val="none" w:sz="0" w:space="0" w:color="auto"/>
      </w:divBdr>
    </w:div>
    <w:div w:id="1265841033">
      <w:bodyDiv w:val="1"/>
      <w:marLeft w:val="0"/>
      <w:marRight w:val="0"/>
      <w:marTop w:val="0"/>
      <w:marBottom w:val="0"/>
      <w:divBdr>
        <w:top w:val="none" w:sz="0" w:space="0" w:color="auto"/>
        <w:left w:val="none" w:sz="0" w:space="0" w:color="auto"/>
        <w:bottom w:val="none" w:sz="0" w:space="0" w:color="auto"/>
        <w:right w:val="none" w:sz="0" w:space="0" w:color="auto"/>
      </w:divBdr>
    </w:div>
    <w:div w:id="1315572737">
      <w:bodyDiv w:val="1"/>
      <w:marLeft w:val="0"/>
      <w:marRight w:val="0"/>
      <w:marTop w:val="0"/>
      <w:marBottom w:val="0"/>
      <w:divBdr>
        <w:top w:val="none" w:sz="0" w:space="0" w:color="auto"/>
        <w:left w:val="none" w:sz="0" w:space="0" w:color="auto"/>
        <w:bottom w:val="none" w:sz="0" w:space="0" w:color="auto"/>
        <w:right w:val="none" w:sz="0" w:space="0" w:color="auto"/>
      </w:divBdr>
    </w:div>
    <w:div w:id="1578056190">
      <w:bodyDiv w:val="1"/>
      <w:marLeft w:val="0"/>
      <w:marRight w:val="0"/>
      <w:marTop w:val="0"/>
      <w:marBottom w:val="0"/>
      <w:divBdr>
        <w:top w:val="none" w:sz="0" w:space="0" w:color="auto"/>
        <w:left w:val="none" w:sz="0" w:space="0" w:color="auto"/>
        <w:bottom w:val="none" w:sz="0" w:space="0" w:color="auto"/>
        <w:right w:val="none" w:sz="0" w:space="0" w:color="auto"/>
      </w:divBdr>
    </w:div>
    <w:div w:id="1597323463">
      <w:bodyDiv w:val="1"/>
      <w:marLeft w:val="0"/>
      <w:marRight w:val="0"/>
      <w:marTop w:val="0"/>
      <w:marBottom w:val="0"/>
      <w:divBdr>
        <w:top w:val="none" w:sz="0" w:space="0" w:color="auto"/>
        <w:left w:val="none" w:sz="0" w:space="0" w:color="auto"/>
        <w:bottom w:val="none" w:sz="0" w:space="0" w:color="auto"/>
        <w:right w:val="none" w:sz="0" w:space="0" w:color="auto"/>
      </w:divBdr>
    </w:div>
    <w:div w:id="1759519264">
      <w:bodyDiv w:val="1"/>
      <w:marLeft w:val="0"/>
      <w:marRight w:val="0"/>
      <w:marTop w:val="0"/>
      <w:marBottom w:val="0"/>
      <w:divBdr>
        <w:top w:val="none" w:sz="0" w:space="0" w:color="auto"/>
        <w:left w:val="none" w:sz="0" w:space="0" w:color="auto"/>
        <w:bottom w:val="none" w:sz="0" w:space="0" w:color="auto"/>
        <w:right w:val="none" w:sz="0" w:space="0" w:color="auto"/>
      </w:divBdr>
    </w:div>
    <w:div w:id="1871910762">
      <w:bodyDiv w:val="1"/>
      <w:marLeft w:val="0"/>
      <w:marRight w:val="0"/>
      <w:marTop w:val="0"/>
      <w:marBottom w:val="0"/>
      <w:divBdr>
        <w:top w:val="none" w:sz="0" w:space="0" w:color="auto"/>
        <w:left w:val="none" w:sz="0" w:space="0" w:color="auto"/>
        <w:bottom w:val="none" w:sz="0" w:space="0" w:color="auto"/>
        <w:right w:val="none" w:sz="0" w:space="0" w:color="auto"/>
      </w:divBdr>
    </w:div>
    <w:div w:id="1963614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hyperlink" Target="about:blank" TargetMode="External"/><Relationship Id="rId12" Type="http://schemas.openxmlformats.org/officeDocument/2006/relationships/hyperlink" Target="about:blank"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D6E932-1868-4463-91E3-BBE3CC451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7345</Words>
  <Characters>41867</Characters>
  <Application>Microsoft Office Word</Application>
  <DocSecurity>0</DocSecurity>
  <Lines>348</Lines>
  <Paragraphs>98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49114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Janina Steinert</dc:creator>
  <cp:keywords/>
  <dc:description/>
  <cp:lastModifiedBy>Sue Taylor</cp:lastModifiedBy>
  <cp:revision>2</cp:revision>
  <cp:lastPrinted>2019-07-30T14:00:00Z</cp:lastPrinted>
  <dcterms:created xsi:type="dcterms:W3CDTF">2020-08-18T13:35:00Z</dcterms:created>
  <dcterms:modified xsi:type="dcterms:W3CDTF">2020-08-18T13:35:00Z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zotero-version="5.0.89"&gt;&lt;session id="F2z3MUSb"/&gt;&lt;style id="http://www.zotero.org/styles/american-medical-association" hasBibliography="1" bibliographyStyleHasBeenSet="1"/&gt;&lt;prefs&gt;&lt;pref name="fieldType" value="Field"/&gt;&lt;pref name="auto</vt:lpwstr>
  </property>
  <property fmtid="{D5CDD505-2E9C-101B-9397-08002B2CF9AE}" pid="3" name="ZOTERO_PREF_2">
    <vt:lpwstr>maticJournalAbbreviations" value="true"/&gt;&lt;pref name="dontAskDelayCitationUpdates" value="true"/&gt;&lt;/prefs&gt;&lt;/data&gt;</vt:lpwstr>
  </property>
  <property fmtid="{D5CDD505-2E9C-101B-9397-08002B2CF9AE}" pid="4" name="_DocHome">
    <vt:i4>778068632</vt:i4>
  </property>
</Properties>
</file>